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6C1" w:rsidRPr="00DB16C1" w:rsidRDefault="00DB16C1" w:rsidP="00DB16C1">
      <w:r w:rsidRPr="00DB16C1">
        <w:t xml:space="preserve">Cristina </w:t>
      </w:r>
      <w:proofErr w:type="spellStart"/>
      <w:r w:rsidRPr="00DB16C1">
        <w:t>Tincati</w:t>
      </w:r>
      <w:proofErr w:type="spellEnd"/>
      <w:r w:rsidRPr="00DB16C1">
        <w:t xml:space="preserve"> ha insegnato fino al 2010 Geografia generale ed economica all’ITC “</w:t>
      </w:r>
      <w:proofErr w:type="gramStart"/>
      <w:r w:rsidRPr="00DB16C1">
        <w:t>G.B.</w:t>
      </w:r>
      <w:proofErr w:type="gramEnd"/>
      <w:r w:rsidRPr="00DB16C1">
        <w:t xml:space="preserve"> Bodoni” di Parma. Per Bruno Mondadori è autrice di manuali di geografia per il biennio della Scuola secondaria di secondo grado:</w:t>
      </w:r>
      <w:r w:rsidRPr="00DB16C1">
        <w:rPr>
          <w:i/>
          <w:iCs/>
        </w:rPr>
        <w:t xml:space="preserve"> </w:t>
      </w:r>
      <w:proofErr w:type="gramStart"/>
      <w:r w:rsidRPr="00DB16C1">
        <w:rPr>
          <w:i/>
          <w:iCs/>
        </w:rPr>
        <w:t>LINK</w:t>
      </w:r>
      <w:proofErr w:type="gramEnd"/>
      <w:r w:rsidRPr="00DB16C1">
        <w:rPr>
          <w:i/>
          <w:iCs/>
        </w:rPr>
        <w:t xml:space="preserve">, Geografia del presente, </w:t>
      </w:r>
      <w:proofErr w:type="spellStart"/>
      <w:r w:rsidRPr="00DB16C1">
        <w:rPr>
          <w:i/>
          <w:iCs/>
        </w:rPr>
        <w:t>Geomagazine</w:t>
      </w:r>
      <w:proofErr w:type="spellEnd"/>
      <w:r w:rsidRPr="00DB16C1">
        <w:rPr>
          <w:i/>
          <w:iCs/>
        </w:rPr>
        <w:t xml:space="preserve">. </w:t>
      </w:r>
    </w:p>
    <w:p w:rsidR="00A67858" w:rsidRDefault="00A67858"/>
    <w:p w:rsidR="00DB16C1" w:rsidRPr="00DB16C1" w:rsidRDefault="00DB16C1" w:rsidP="00DB16C1">
      <w:pPr>
        <w:rPr>
          <w:b/>
          <w:bCs/>
          <w:sz w:val="36"/>
          <w:szCs w:val="36"/>
        </w:rPr>
      </w:pPr>
      <w:r w:rsidRPr="00DB16C1">
        <w:rPr>
          <w:b/>
          <w:bCs/>
          <w:sz w:val="36"/>
          <w:szCs w:val="36"/>
        </w:rPr>
        <w:t>Ritratto di Siria</w:t>
      </w:r>
    </w:p>
    <w:p w:rsidR="00DB16C1" w:rsidRDefault="00DB16C1" w:rsidP="00DB16C1">
      <w:r w:rsidRPr="00DB16C1">
        <w:rPr>
          <w:sz w:val="36"/>
          <w:szCs w:val="36"/>
        </w:rPr>
        <w:t>Geografia, società, economia</w:t>
      </w:r>
      <w:r>
        <w:rPr>
          <w:sz w:val="36"/>
          <w:szCs w:val="36"/>
        </w:rPr>
        <w:t xml:space="preserve"> </w:t>
      </w:r>
      <w:r w:rsidRPr="00DB16C1">
        <w:t xml:space="preserve">di Cristina </w:t>
      </w:r>
      <w:proofErr w:type="spellStart"/>
      <w:r w:rsidRPr="00DB16C1">
        <w:t>Tincati</w:t>
      </w:r>
      <w:proofErr w:type="spellEnd"/>
    </w:p>
    <w:p w:rsidR="00DB16C1" w:rsidRDefault="00DB16C1" w:rsidP="00DB16C1"/>
    <w:tbl>
      <w:tblPr>
        <w:tblW w:w="0" w:type="auto"/>
        <w:tblInd w:w="113" w:type="dxa"/>
        <w:tblLayout w:type="fixed"/>
        <w:tblCellMar>
          <w:left w:w="0" w:type="dxa"/>
          <w:right w:w="0" w:type="dxa"/>
        </w:tblCellMar>
        <w:tblLook w:val="0000" w:firstRow="0" w:lastRow="0" w:firstColumn="0" w:lastColumn="0" w:noHBand="0" w:noVBand="0"/>
      </w:tblPr>
      <w:tblGrid>
        <w:gridCol w:w="2608"/>
        <w:gridCol w:w="2551"/>
      </w:tblGrid>
      <w:tr w:rsidR="00DB16C1">
        <w:tblPrEx>
          <w:tblCellMar>
            <w:top w:w="0" w:type="dxa"/>
            <w:left w:w="0" w:type="dxa"/>
            <w:bottom w:w="0" w:type="dxa"/>
            <w:right w:w="0" w:type="dxa"/>
          </w:tblCellMar>
        </w:tblPrEx>
        <w:trPr>
          <w:trHeight w:val="1201"/>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rPr>
                <w:rFonts w:ascii="HelveticaNeue-HeavyCond" w:hAnsi="HelveticaNeue-HeavyCond" w:cs="HelveticaNeue-HeavyCond"/>
                <w:caps/>
                <w:sz w:val="28"/>
                <w:szCs w:val="28"/>
              </w:rPr>
            </w:pPr>
            <w:r>
              <w:rPr>
                <w:rFonts w:ascii="HelveticaNeue-HeavyCond" w:hAnsi="HelveticaNeue-HeavyCond" w:cs="HelveticaNeue-HeavyCond"/>
                <w:caps/>
                <w:sz w:val="28"/>
                <w:szCs w:val="28"/>
              </w:rPr>
              <w:t xml:space="preserve">Repubblica </w:t>
            </w:r>
          </w:p>
          <w:p w:rsidR="00DB16C1" w:rsidRDefault="00DB16C1">
            <w:pPr>
              <w:pStyle w:val="06boxesercizi"/>
              <w:rPr>
                <w:rFonts w:ascii="HelveticaNeue-HeavyCond" w:hAnsi="HelveticaNeue-HeavyCond" w:cs="HelveticaNeue-HeavyCond"/>
                <w:caps/>
                <w:sz w:val="28"/>
                <w:szCs w:val="28"/>
              </w:rPr>
            </w:pPr>
            <w:r>
              <w:rPr>
                <w:rFonts w:ascii="HelveticaNeue-HeavyCond" w:hAnsi="HelveticaNeue-HeavyCond" w:cs="HelveticaNeue-HeavyCond"/>
                <w:caps/>
                <w:sz w:val="28"/>
                <w:szCs w:val="28"/>
              </w:rPr>
              <w:t xml:space="preserve">Araba </w:t>
            </w:r>
          </w:p>
          <w:p w:rsidR="00DB16C1" w:rsidRDefault="00DB16C1">
            <w:pPr>
              <w:pStyle w:val="06boxesercizi"/>
            </w:pPr>
            <w:r>
              <w:rPr>
                <w:rFonts w:ascii="HelveticaNeue-HeavyCond" w:hAnsi="HelveticaNeue-HeavyCond" w:cs="HelveticaNeue-HeavyCond"/>
                <w:caps/>
                <w:sz w:val="28"/>
                <w:szCs w:val="28"/>
              </w:rPr>
              <w:t>di Siria</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jc w:val="center"/>
            </w:pPr>
          </w:p>
        </w:tc>
      </w:tr>
      <w:tr w:rsidR="00DB16C1">
        <w:tblPrEx>
          <w:tblCellMar>
            <w:top w:w="0" w:type="dxa"/>
            <w:left w:w="0" w:type="dxa"/>
            <w:bottom w:w="0" w:type="dxa"/>
            <w:right w:w="0" w:type="dxa"/>
          </w:tblCellMar>
        </w:tblPrEx>
        <w:trPr>
          <w:trHeight w:val="429"/>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Capitale</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Damasco</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Forma di governo</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 xml:space="preserve">Repubblica presidenziale </w:t>
            </w:r>
            <w:r>
              <w:rPr>
                <w:sz w:val="20"/>
                <w:szCs w:val="20"/>
              </w:rPr>
              <w:br/>
            </w:r>
            <w:proofErr w:type="gramStart"/>
            <w:r>
              <w:rPr>
                <w:sz w:val="20"/>
                <w:szCs w:val="20"/>
              </w:rPr>
              <w:t>a</w:t>
            </w:r>
            <w:proofErr w:type="gramEnd"/>
            <w:r>
              <w:rPr>
                <w:sz w:val="20"/>
                <w:szCs w:val="20"/>
              </w:rPr>
              <w:t xml:space="preserve"> partito unico</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rPr>
                <w:sz w:val="20"/>
                <w:szCs w:val="20"/>
              </w:rPr>
            </w:pPr>
            <w:r>
              <w:rPr>
                <w:sz w:val="20"/>
                <w:szCs w:val="20"/>
              </w:rPr>
              <w:t xml:space="preserve">Posizione geografica </w:t>
            </w:r>
          </w:p>
          <w:p w:rsidR="00DB16C1" w:rsidRDefault="00DB16C1">
            <w:pPr>
              <w:pStyle w:val="06boxesercizi"/>
            </w:pPr>
            <w:proofErr w:type="gramStart"/>
            <w:r>
              <w:rPr>
                <w:sz w:val="20"/>
                <w:szCs w:val="20"/>
              </w:rPr>
              <w:t>e</w:t>
            </w:r>
            <w:proofErr w:type="gramEnd"/>
            <w:r>
              <w:rPr>
                <w:sz w:val="20"/>
                <w:szCs w:val="20"/>
              </w:rPr>
              <w:t xml:space="preserve"> confini</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rPr>
                <w:sz w:val="20"/>
                <w:szCs w:val="20"/>
              </w:rPr>
            </w:pPr>
            <w:r>
              <w:rPr>
                <w:sz w:val="20"/>
                <w:szCs w:val="20"/>
              </w:rPr>
              <w:t>Asia occidentale: Medio Oriente</w:t>
            </w:r>
          </w:p>
          <w:p w:rsidR="00DB16C1" w:rsidRDefault="00DB16C1">
            <w:pPr>
              <w:pStyle w:val="06boxesercizi"/>
            </w:pPr>
            <w:proofErr w:type="gramStart"/>
            <w:r>
              <w:rPr>
                <w:sz w:val="20"/>
                <w:szCs w:val="20"/>
              </w:rPr>
              <w:t xml:space="preserve">Confini: Turchia (nord), Iraq (est e sud-est), Giordania (sud), Israele (sud-ovest), Libano e Mare Mediterraneo (ovest) </w:t>
            </w:r>
            <w:proofErr w:type="gramEnd"/>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Superficie (km²)</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185.180</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 xml:space="preserve">Popolazione </w:t>
            </w:r>
            <w:r>
              <w:rPr>
                <w:sz w:val="20"/>
                <w:szCs w:val="20"/>
              </w:rPr>
              <w:br/>
            </w:r>
            <w:proofErr w:type="gramStart"/>
            <w:r>
              <w:rPr>
                <w:sz w:val="20"/>
                <w:szCs w:val="20"/>
              </w:rPr>
              <w:t>(stima</w:t>
            </w:r>
            <w:proofErr w:type="gramEnd"/>
            <w:r>
              <w:rPr>
                <w:sz w:val="20"/>
                <w:szCs w:val="20"/>
              </w:rPr>
              <w:t xml:space="preserve"> 2012)</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rPr>
                <w:sz w:val="20"/>
                <w:szCs w:val="20"/>
              </w:rPr>
            </w:pPr>
            <w:r>
              <w:rPr>
                <w:sz w:val="20"/>
                <w:szCs w:val="20"/>
              </w:rPr>
              <w:t>22.500.000</w:t>
            </w:r>
          </w:p>
          <w:p w:rsidR="00DB16C1" w:rsidRDefault="00DB16C1">
            <w:pPr>
              <w:pStyle w:val="06boxesercizi"/>
            </w:pPr>
            <w:r>
              <w:rPr>
                <w:sz w:val="20"/>
                <w:szCs w:val="20"/>
              </w:rPr>
              <w:t>36.300.000 (prevista al 2050)</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Densità (ab/km²)</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121,5</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Popolazione urbana (2011)</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56,2 %</w:t>
            </w:r>
          </w:p>
        </w:tc>
      </w:tr>
      <w:tr w:rsidR="00DB16C1">
        <w:tblPrEx>
          <w:tblCellMar>
            <w:top w:w="0" w:type="dxa"/>
            <w:left w:w="0" w:type="dxa"/>
            <w:bottom w:w="0" w:type="dxa"/>
            <w:right w:w="0" w:type="dxa"/>
          </w:tblCellMar>
        </w:tblPrEx>
        <w:trPr>
          <w:trHeight w:val="669"/>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Suddivisione amministrativa</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 xml:space="preserve">14 governatorati (in arabo </w:t>
            </w:r>
            <w:proofErr w:type="spellStart"/>
            <w:r>
              <w:rPr>
                <w:rFonts w:ascii="HelveticaNeue-CondensedObl" w:hAnsi="HelveticaNeue-CondensedObl" w:cs="HelveticaNeue-CondensedObl"/>
                <w:i/>
                <w:iCs/>
                <w:sz w:val="20"/>
                <w:szCs w:val="20"/>
                <w:lang w:val="fr-FR"/>
              </w:rPr>
              <w:t>muhafazat</w:t>
            </w:r>
            <w:proofErr w:type="spellEnd"/>
            <w:r>
              <w:rPr>
                <w:sz w:val="20"/>
                <w:szCs w:val="20"/>
              </w:rPr>
              <w:t>)</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Lingua</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rPr>
                <w:sz w:val="20"/>
                <w:szCs w:val="20"/>
              </w:rPr>
            </w:pPr>
            <w:r>
              <w:rPr>
                <w:sz w:val="20"/>
                <w:szCs w:val="20"/>
              </w:rPr>
              <w:t>Arabo (lingua ufficiale)</w:t>
            </w:r>
          </w:p>
          <w:p w:rsidR="00DB16C1" w:rsidRDefault="00DB16C1">
            <w:pPr>
              <w:pStyle w:val="06boxesercizi"/>
            </w:pPr>
            <w:r>
              <w:rPr>
                <w:sz w:val="20"/>
                <w:szCs w:val="20"/>
              </w:rPr>
              <w:t>Altre lingue: curdo, armeno, aramaico, circasso</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Religione</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rPr>
                <w:sz w:val="20"/>
                <w:szCs w:val="20"/>
              </w:rPr>
            </w:pPr>
            <w:r>
              <w:rPr>
                <w:sz w:val="20"/>
                <w:szCs w:val="20"/>
              </w:rPr>
              <w:t xml:space="preserve">Islam di confessione sunnita (74% della popolazione) </w:t>
            </w:r>
          </w:p>
          <w:p w:rsidR="00DB16C1" w:rsidRDefault="00DB16C1">
            <w:pPr>
              <w:pStyle w:val="06boxesercizi"/>
            </w:pPr>
            <w:proofErr w:type="gramStart"/>
            <w:r>
              <w:rPr>
                <w:sz w:val="20"/>
                <w:szCs w:val="20"/>
              </w:rPr>
              <w:t>Minoranze: altre confessioni islamiche (16%), cristiani e piccoli gruppi di ebrei (circa 3% della popolazione)</w:t>
            </w:r>
            <w:proofErr w:type="gramEnd"/>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lastRenderedPageBreak/>
              <w:t>Composizione etnica</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Arabi (86% della popolazione), curdi (7%), armeni (3%), altri gruppi (4%)</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proofErr w:type="spellStart"/>
            <w:r>
              <w:rPr>
                <w:spacing w:val="-4"/>
                <w:sz w:val="20"/>
                <w:szCs w:val="20"/>
              </w:rPr>
              <w:t>Pil</w:t>
            </w:r>
            <w:proofErr w:type="spellEnd"/>
            <w:r>
              <w:rPr>
                <w:spacing w:val="-4"/>
                <w:sz w:val="20"/>
                <w:szCs w:val="20"/>
              </w:rPr>
              <w:t>/</w:t>
            </w:r>
            <w:proofErr w:type="spellStart"/>
            <w:r>
              <w:rPr>
                <w:spacing w:val="-4"/>
                <w:sz w:val="20"/>
                <w:szCs w:val="20"/>
              </w:rPr>
              <w:t>ppa</w:t>
            </w:r>
            <w:proofErr w:type="spellEnd"/>
            <w:r>
              <w:rPr>
                <w:spacing w:val="-4"/>
                <w:sz w:val="20"/>
                <w:szCs w:val="20"/>
              </w:rPr>
              <w:t xml:space="preserve"> pro capite (2009 in $ USA)</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4.730</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ISU (2011)</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0,632 (119° posto)</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ISUD (Indice corretto per le Disuguaglianze; 2011</w:t>
            </w:r>
            <w:proofErr w:type="gramStart"/>
            <w:r>
              <w:rPr>
                <w:sz w:val="20"/>
                <w:szCs w:val="20"/>
              </w:rPr>
              <w:t>)</w:t>
            </w:r>
            <w:proofErr w:type="gramEnd"/>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0,503</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IDG (Indice di Disuguaglianza di Genere; 2011)</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0,474 (86° posto)</w:t>
            </w:r>
          </w:p>
        </w:tc>
      </w:tr>
      <w:tr w:rsidR="00DB16C1">
        <w:tblPrEx>
          <w:tblCellMar>
            <w:top w:w="0" w:type="dxa"/>
            <w:left w:w="0" w:type="dxa"/>
            <w:bottom w:w="0" w:type="dxa"/>
            <w:right w:w="0" w:type="dxa"/>
          </w:tblCellMar>
        </w:tblPrEx>
        <w:trPr>
          <w:trHeight w:val="113"/>
        </w:trPr>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 xml:space="preserve">Tasso di analfabetismo </w:t>
            </w:r>
            <w:r>
              <w:rPr>
                <w:sz w:val="20"/>
                <w:szCs w:val="20"/>
              </w:rPr>
              <w:br/>
            </w:r>
            <w:proofErr w:type="gramStart"/>
            <w:r>
              <w:rPr>
                <w:sz w:val="20"/>
                <w:szCs w:val="20"/>
              </w:rPr>
              <w:t>(2005-2010</w:t>
            </w:r>
            <w:proofErr w:type="gramEnd"/>
            <w:r>
              <w:rPr>
                <w:sz w:val="20"/>
                <w:szCs w:val="20"/>
              </w:rPr>
              <w:t>)</w:t>
            </w:r>
          </w:p>
        </w:tc>
        <w:tc>
          <w:tcPr>
            <w:tcW w:w="2551" w:type="dxa"/>
            <w:tcBorders>
              <w:top w:val="single" w:sz="4" w:space="0" w:color="000000"/>
              <w:left w:val="single" w:sz="4" w:space="0" w:color="000000"/>
              <w:bottom w:val="single" w:sz="4" w:space="0" w:color="000000"/>
              <w:right w:val="single" w:sz="4" w:space="0" w:color="000000"/>
            </w:tcBorders>
            <w:tcMar>
              <w:top w:w="142" w:type="dxa"/>
              <w:left w:w="113" w:type="dxa"/>
              <w:bottom w:w="130" w:type="dxa"/>
              <w:right w:w="113" w:type="dxa"/>
            </w:tcMar>
          </w:tcPr>
          <w:p w:rsidR="00DB16C1" w:rsidRDefault="00DB16C1">
            <w:pPr>
              <w:pStyle w:val="06boxesercizi"/>
            </w:pPr>
            <w:r>
              <w:rPr>
                <w:sz w:val="20"/>
                <w:szCs w:val="20"/>
              </w:rPr>
              <w:t>15,8 (%)</w:t>
            </w:r>
          </w:p>
        </w:tc>
      </w:tr>
    </w:tbl>
    <w:p w:rsidR="00DB16C1" w:rsidRDefault="00DB16C1" w:rsidP="00DB16C1">
      <w:pPr>
        <w:rPr>
          <w:sz w:val="36"/>
          <w:szCs w:val="36"/>
        </w:rPr>
      </w:pPr>
    </w:p>
    <w:p w:rsidR="00DB16C1" w:rsidRDefault="00DB16C1" w:rsidP="00DB16C1">
      <w:pPr>
        <w:rPr>
          <w:sz w:val="36"/>
          <w:szCs w:val="36"/>
        </w:rPr>
      </w:pPr>
    </w:p>
    <w:p w:rsidR="00DB16C1" w:rsidRPr="00DB16C1" w:rsidRDefault="00DB16C1" w:rsidP="00DB16C1">
      <w:pPr>
        <w:rPr>
          <w:b/>
          <w:bCs/>
        </w:rPr>
      </w:pPr>
      <w:r w:rsidRPr="00DB16C1">
        <w:rPr>
          <w:b/>
          <w:bCs/>
        </w:rPr>
        <w:t xml:space="preserve">La Primavera siriana </w:t>
      </w:r>
    </w:p>
    <w:p w:rsidR="00DB16C1" w:rsidRPr="00DB16C1" w:rsidRDefault="00DB16C1" w:rsidP="00DB16C1">
      <w:r w:rsidRPr="00DB16C1">
        <w:t xml:space="preserve">La Siria non è sfuggita all’ondata di rivoluzioni che hanno scosso il mondo arabo nella primavera del 2011. Da un anno, nel paese si assiste a un crescendo di tensioni e di violenze fra la popolazione e il governo. Le contestazioni, iniziate a </w:t>
      </w:r>
      <w:proofErr w:type="spellStart"/>
      <w:r w:rsidRPr="00DB16C1">
        <w:t>Dar‘a</w:t>
      </w:r>
      <w:proofErr w:type="spellEnd"/>
      <w:r w:rsidRPr="00DB16C1">
        <w:t>, si</w:t>
      </w:r>
      <w:r w:rsidRPr="00DB16C1">
        <w:rPr>
          <w:b/>
          <w:bCs/>
        </w:rPr>
        <w:t xml:space="preserve"> </w:t>
      </w:r>
      <w:r w:rsidRPr="00DB16C1">
        <w:t xml:space="preserve">sono estese a tutto il paese interessando soprattutto le città di Hamah e di </w:t>
      </w:r>
      <w:proofErr w:type="spellStart"/>
      <w:r w:rsidRPr="00DB16C1">
        <w:t>Homs</w:t>
      </w:r>
      <w:proofErr w:type="spellEnd"/>
      <w:r w:rsidRPr="00DB16C1">
        <w:t>. Il</w:t>
      </w:r>
      <w:r w:rsidRPr="00DB16C1">
        <w:rPr>
          <w:b/>
          <w:bCs/>
        </w:rPr>
        <w:t xml:space="preserve"> governo</w:t>
      </w:r>
      <w:r w:rsidRPr="00DB16C1">
        <w:t xml:space="preserve"> ha risposto alle proteste, da un lato, con timide riforme, dall’altro con gli arresti, il blocco delle comunicazioni via Internet, arrivando a bombardare </w:t>
      </w:r>
      <w:proofErr w:type="spellStart"/>
      <w:r w:rsidRPr="00DB16C1">
        <w:t>Homs</w:t>
      </w:r>
      <w:proofErr w:type="spellEnd"/>
      <w:r w:rsidRPr="00DB16C1">
        <w:t xml:space="preserve"> e altre città ribelli e a sparare sui profughi in fuga verso la Turchia. Il </w:t>
      </w:r>
      <w:r w:rsidRPr="00DB16C1">
        <w:rPr>
          <w:b/>
          <w:bCs/>
        </w:rPr>
        <w:t>ricorso alle armi</w:t>
      </w:r>
      <w:r w:rsidRPr="00DB16C1">
        <w:t xml:space="preserve"> da entrambe le parti </w:t>
      </w:r>
      <w:proofErr w:type="gramStart"/>
      <w:r w:rsidRPr="00DB16C1">
        <w:t>ha</w:t>
      </w:r>
      <w:proofErr w:type="gramEnd"/>
      <w:r w:rsidRPr="00DB16C1">
        <w:t xml:space="preserve"> scatenato una </w:t>
      </w:r>
      <w:r w:rsidRPr="00DB16C1">
        <w:rPr>
          <w:b/>
          <w:bCs/>
        </w:rPr>
        <w:t>guerra civile</w:t>
      </w:r>
      <w:r w:rsidRPr="00DB16C1">
        <w:t xml:space="preserve"> che, stando alle stime, finora ha provocato oltre 10 mila morti, circa 15 mila arresti, più di 12 mila profughi. Il cessate il fuoco (operativo dal 12 aprile 2012) imposto dalle Nazioni Unite dopo lunghe trattative in seno al </w:t>
      </w:r>
      <w:r w:rsidRPr="00DB16C1">
        <w:rPr>
          <w:b/>
          <w:bCs/>
        </w:rPr>
        <w:t>Consiglio di Sicurezza</w:t>
      </w:r>
      <w:r w:rsidRPr="00DB16C1">
        <w:t xml:space="preserve"> (a causa del veto di Russia e Cina) e il successivo invio di </w:t>
      </w:r>
      <w:r w:rsidRPr="00DB16C1">
        <w:rPr>
          <w:b/>
          <w:bCs/>
        </w:rPr>
        <w:t>osservatori internazionali</w:t>
      </w:r>
      <w:r w:rsidRPr="00DB16C1">
        <w:t xml:space="preserve"> </w:t>
      </w:r>
      <w:proofErr w:type="gramStart"/>
      <w:r w:rsidRPr="00DB16C1">
        <w:t>hanno</w:t>
      </w:r>
      <w:proofErr w:type="gramEnd"/>
      <w:r w:rsidRPr="00DB16C1">
        <w:t xml:space="preserve"> solo rallentato gli scontri; intanto la stampa estera parla già di fallimento della missione di pace. Il futuro appare ancora molto incerto, poiché il potere per ora non intende patteggiare con gli insorti mentre questi non presentano un fronte compatto sebbene la loro possibilità di successo dipenda sia dalla coesione interna sia dal sostegno internazionale. Un dato appare chiaro: la </w:t>
      </w:r>
      <w:r w:rsidRPr="00DB16C1">
        <w:rPr>
          <w:b/>
          <w:bCs/>
        </w:rPr>
        <w:t>richiesta di cambiamento</w:t>
      </w:r>
      <w:r w:rsidRPr="00DB16C1">
        <w:t xml:space="preserve"> è molto forte in tutto il paese ed è destinata a segnare la fine della generazione dei governi d’ispirazione postcoloniale. </w:t>
      </w:r>
    </w:p>
    <w:p w:rsidR="00DB16C1" w:rsidRPr="00DB16C1" w:rsidRDefault="00DB16C1" w:rsidP="00DB16C1">
      <w:r w:rsidRPr="00DB16C1">
        <w:rPr>
          <w:b/>
          <w:bCs/>
        </w:rPr>
        <w:t>Che cosa chiede la popolazione siriana e quali accuse muove al governo?</w:t>
      </w:r>
      <w:r w:rsidRPr="00DB16C1">
        <w:t xml:space="preserve"> All’origine</w:t>
      </w:r>
      <w:r w:rsidRPr="00DB16C1">
        <w:rPr>
          <w:b/>
          <w:bCs/>
        </w:rPr>
        <w:t xml:space="preserve"> </w:t>
      </w:r>
      <w:r w:rsidRPr="00DB16C1">
        <w:t>delle contestazioni sta l’</w:t>
      </w:r>
      <w:r w:rsidRPr="00DB16C1">
        <w:rPr>
          <w:b/>
          <w:bCs/>
        </w:rPr>
        <w:t>opposizione al partito Baath</w:t>
      </w:r>
      <w:r w:rsidRPr="00DB16C1">
        <w:t xml:space="preserve"> e al governo di </w:t>
      </w:r>
      <w:proofErr w:type="spellStart"/>
      <w:r w:rsidRPr="00DB16C1">
        <w:t>Bashar</w:t>
      </w:r>
      <w:proofErr w:type="spellEnd"/>
      <w:r w:rsidRPr="00DB16C1">
        <w:t xml:space="preserve">, accusati di tirannia e corruzione, di non avere abolito lo stato di emergenza in vigore dal 1963, di violare sistematicamente i diritti umani. A questi si aggiungono </w:t>
      </w:r>
      <w:r w:rsidRPr="00DB16C1">
        <w:rPr>
          <w:b/>
          <w:bCs/>
        </w:rPr>
        <w:t>motivi social</w:t>
      </w:r>
      <w:r w:rsidRPr="00DB16C1">
        <w:t xml:space="preserve">i, quali l’evoluzione demografica, il cambiamento dei costumi, l’innovazione nella circolazione delle idee e dell’informazione legata alla diffusione di Internet e della </w:t>
      </w:r>
      <w:proofErr w:type="spellStart"/>
      <w:r w:rsidRPr="00DB16C1">
        <w:t>videofonia</w:t>
      </w:r>
      <w:proofErr w:type="spellEnd"/>
      <w:r w:rsidRPr="00DB16C1">
        <w:t xml:space="preserve"> cellulare, </w:t>
      </w:r>
      <w:proofErr w:type="gramStart"/>
      <w:r w:rsidRPr="00DB16C1">
        <w:t>spinte</w:t>
      </w:r>
      <w:proofErr w:type="gramEnd"/>
      <w:r w:rsidRPr="00DB16C1">
        <w:t xml:space="preserve"> religioso-confessionali, per lo più esterne, in chiave integralista. Profonda è anche la </w:t>
      </w:r>
      <w:r w:rsidRPr="00DB16C1">
        <w:rPr>
          <w:b/>
          <w:bCs/>
        </w:rPr>
        <w:t>crisi economica</w:t>
      </w:r>
      <w:r w:rsidRPr="00DB16C1">
        <w:t xml:space="preserve">, espressa dall’alta disoccupazione giovanile, dalla povertà diffusa nei governatorati periferici e nelle campagne, conseguenza di decenni di piani economici in parte falliti, della mancanza di concreti progetti </w:t>
      </w:r>
      <w:proofErr w:type="gramStart"/>
      <w:r w:rsidRPr="00DB16C1">
        <w:t>di</w:t>
      </w:r>
      <w:proofErr w:type="gramEnd"/>
      <w:r w:rsidRPr="00DB16C1">
        <w:t xml:space="preserve"> sviluppo, delle alte spese militari, delle insufficienti riforme economiche e sociali.</w:t>
      </w:r>
    </w:p>
    <w:p w:rsidR="00DB16C1" w:rsidRPr="00DB16C1" w:rsidRDefault="00DB16C1" w:rsidP="00DB16C1">
      <w:pPr>
        <w:rPr>
          <w:lang w:val="en-GB"/>
        </w:rPr>
      </w:pPr>
    </w:p>
    <w:p w:rsidR="00DB16C1" w:rsidRPr="00DB16C1" w:rsidRDefault="00DB16C1" w:rsidP="00DB16C1">
      <w:pPr>
        <w:rPr>
          <w:b/>
          <w:bCs/>
        </w:rPr>
      </w:pPr>
      <w:r w:rsidRPr="00DB16C1">
        <w:rPr>
          <w:b/>
          <w:bCs/>
        </w:rPr>
        <w:t xml:space="preserve">Fra il deserto e il mare </w:t>
      </w:r>
    </w:p>
    <w:p w:rsidR="00DB16C1" w:rsidRPr="00DB16C1" w:rsidRDefault="00DB16C1" w:rsidP="00DB16C1">
      <w:r w:rsidRPr="00DB16C1">
        <w:t xml:space="preserve">Posto all’estremità nord-occidentale della Penisola Arabica, il territorio della Siria arriva fino al Mediterraneo, sul quale si affaccia con un fronte di 193 km. Procedendo da ovest a est, esso può essere suddiviso in tre sezioni: una </w:t>
      </w:r>
      <w:r w:rsidRPr="00DB16C1">
        <w:rPr>
          <w:b/>
          <w:bCs/>
        </w:rPr>
        <w:t>marittima</w:t>
      </w:r>
      <w:r w:rsidRPr="00DB16C1">
        <w:t xml:space="preserve">, una </w:t>
      </w:r>
      <w:r w:rsidRPr="00DB16C1">
        <w:rPr>
          <w:b/>
          <w:bCs/>
        </w:rPr>
        <w:t>montuosa</w:t>
      </w:r>
      <w:r w:rsidRPr="00DB16C1">
        <w:t xml:space="preserve">, a ridosso della prima, e </w:t>
      </w:r>
      <w:proofErr w:type="gramStart"/>
      <w:r w:rsidRPr="00DB16C1">
        <w:t xml:space="preserve">una </w:t>
      </w:r>
      <w:proofErr w:type="gramEnd"/>
      <w:r w:rsidRPr="00DB16C1">
        <w:rPr>
          <w:b/>
          <w:bCs/>
        </w:rPr>
        <w:t>interna</w:t>
      </w:r>
      <w:r w:rsidRPr="00DB16C1">
        <w:t xml:space="preserve">, in larga parte desertica. La sezione marittima è formata da brevi pianure costiere ed è separata da quella continentale dalla catena </w:t>
      </w:r>
      <w:proofErr w:type="spellStart"/>
      <w:r w:rsidRPr="00DB16C1">
        <w:t>Alawita</w:t>
      </w:r>
      <w:proofErr w:type="spellEnd"/>
      <w:r w:rsidRPr="00DB16C1">
        <w:t xml:space="preserve">, ossia il </w:t>
      </w:r>
      <w:proofErr w:type="spellStart"/>
      <w:r w:rsidRPr="00DB16C1">
        <w:t>Gebel</w:t>
      </w:r>
      <w:proofErr w:type="spellEnd"/>
      <w:r w:rsidRPr="00DB16C1">
        <w:t xml:space="preserve"> an-</w:t>
      </w:r>
      <w:proofErr w:type="spellStart"/>
      <w:r w:rsidRPr="00DB16C1">
        <w:t>Nusairiyeh</w:t>
      </w:r>
      <w:proofErr w:type="spellEnd"/>
      <w:r w:rsidRPr="00DB16C1">
        <w:t xml:space="preserve">. Una serie di catene montuose e una fossa tettonica si susseguono da sud a nord lungo il confine con Giordania, Israele e Libano: il </w:t>
      </w:r>
      <w:proofErr w:type="spellStart"/>
      <w:r w:rsidRPr="00DB16C1">
        <w:t>Gebel</w:t>
      </w:r>
      <w:proofErr w:type="spellEnd"/>
      <w:r w:rsidRPr="00DB16C1">
        <w:t xml:space="preserve"> ad-</w:t>
      </w:r>
      <w:proofErr w:type="spellStart"/>
      <w:r w:rsidRPr="00DB16C1">
        <w:t>Duruz</w:t>
      </w:r>
      <w:proofErr w:type="spellEnd"/>
      <w:r w:rsidRPr="00DB16C1">
        <w:t>, le Alture del Golan, l’</w:t>
      </w:r>
      <w:proofErr w:type="spellStart"/>
      <w:r w:rsidRPr="00DB16C1">
        <w:t>Antilibano</w:t>
      </w:r>
      <w:proofErr w:type="spellEnd"/>
      <w:r w:rsidRPr="00DB16C1">
        <w:t xml:space="preserve">, la depressione di </w:t>
      </w:r>
      <w:proofErr w:type="spellStart"/>
      <w:r w:rsidRPr="00DB16C1">
        <w:t>Ghab</w:t>
      </w:r>
      <w:proofErr w:type="spellEnd"/>
      <w:r w:rsidRPr="00DB16C1">
        <w:t xml:space="preserve">, il </w:t>
      </w:r>
      <w:proofErr w:type="spellStart"/>
      <w:r w:rsidRPr="00DB16C1">
        <w:t>Gebel</w:t>
      </w:r>
      <w:proofErr w:type="spellEnd"/>
      <w:r w:rsidRPr="00DB16C1">
        <w:t xml:space="preserve"> al-</w:t>
      </w:r>
      <w:proofErr w:type="spellStart"/>
      <w:r w:rsidRPr="00DB16C1">
        <w:t>Ansariye</w:t>
      </w:r>
      <w:proofErr w:type="spellEnd"/>
      <w:r w:rsidRPr="00DB16C1">
        <w:t xml:space="preserve">, prosecuzione della catena del Libano. Questi sistemi montuosi digradano verso l’interno, dove si apre la sezione più vasta, formata a sud e al centro da tavolati desertici e steppici, a nord, oltre il fiume Eufrate, dalla vasta pianura </w:t>
      </w:r>
      <w:proofErr w:type="gramStart"/>
      <w:r w:rsidRPr="00DB16C1">
        <w:t>al</w:t>
      </w:r>
      <w:proofErr w:type="gramEnd"/>
      <w:r w:rsidRPr="00DB16C1">
        <w:t xml:space="preserve"> </w:t>
      </w:r>
      <w:proofErr w:type="spellStart"/>
      <w:r w:rsidRPr="00DB16C1">
        <w:t>Jazirah</w:t>
      </w:r>
      <w:proofErr w:type="spellEnd"/>
      <w:r w:rsidRPr="00DB16C1">
        <w:t xml:space="preserve">. </w:t>
      </w:r>
    </w:p>
    <w:p w:rsidR="00DB16C1" w:rsidRPr="00DB16C1" w:rsidRDefault="00DB16C1" w:rsidP="00DB16C1"/>
    <w:p w:rsidR="00DB16C1" w:rsidRPr="00DB16C1" w:rsidRDefault="00DB16C1" w:rsidP="00DB16C1">
      <w:pPr>
        <w:rPr>
          <w:b/>
          <w:bCs/>
        </w:rPr>
      </w:pPr>
      <w:r w:rsidRPr="00DB16C1">
        <w:rPr>
          <w:b/>
          <w:bCs/>
        </w:rPr>
        <w:t xml:space="preserve">L’acqua contesa con Turchia e Iraq </w:t>
      </w:r>
    </w:p>
    <w:p w:rsidR="00DB16C1" w:rsidRPr="00DB16C1" w:rsidRDefault="00DB16C1" w:rsidP="00DB16C1">
      <w:r w:rsidRPr="00DB16C1">
        <w:t xml:space="preserve">In Siria, culla dell’agricoltura, sono fiorite alcune delle più antiche ed evolute civiltà. Fattore </w:t>
      </w:r>
      <w:proofErr w:type="gramStart"/>
      <w:r w:rsidRPr="00DB16C1">
        <w:t>determinante</w:t>
      </w:r>
      <w:proofErr w:type="gramEnd"/>
      <w:r w:rsidRPr="00DB16C1">
        <w:t>: l’</w:t>
      </w:r>
      <w:r w:rsidRPr="00DB16C1">
        <w:rPr>
          <w:b/>
          <w:bCs/>
        </w:rPr>
        <w:t>acqua</w:t>
      </w:r>
      <w:r w:rsidRPr="00DB16C1">
        <w:t xml:space="preserve">. Da allora la sua importanza strategica è aumentata di pari passo con la crescita demografica e la necessità di sostenere i processi di sviluppo. Tenuto conto che la Siria non </w:t>
      </w:r>
      <w:proofErr w:type="gramStart"/>
      <w:r w:rsidRPr="00DB16C1">
        <w:t>ha</w:t>
      </w:r>
      <w:proofErr w:type="gramEnd"/>
      <w:r w:rsidRPr="00DB16C1">
        <w:t xml:space="preserve"> fiumi propri e le oasi importanti sono poche, esclusa quella di </w:t>
      </w:r>
      <w:proofErr w:type="spellStart"/>
      <w:r w:rsidRPr="00DB16C1">
        <w:t>Ghouta</w:t>
      </w:r>
      <w:proofErr w:type="spellEnd"/>
      <w:r w:rsidRPr="00DB16C1">
        <w:t xml:space="preserve"> dove sorge Damasco, di quali risorse idriche dispone? L’</w:t>
      </w:r>
      <w:r w:rsidRPr="00DB16C1">
        <w:rPr>
          <w:b/>
          <w:bCs/>
        </w:rPr>
        <w:t>Eufrate</w:t>
      </w:r>
      <w:r w:rsidRPr="00DB16C1">
        <w:t xml:space="preserve">, il fiume più importante, scorre in territorio siriano per quasi 700 km prima di entrare in Iraq, ma le sue sorgenti si trovano in Turchia. Esso </w:t>
      </w:r>
      <w:proofErr w:type="gramStart"/>
      <w:r w:rsidRPr="00DB16C1">
        <w:t>è</w:t>
      </w:r>
      <w:proofErr w:type="gramEnd"/>
      <w:r w:rsidRPr="00DB16C1">
        <w:t xml:space="preserve"> alimentato da due tributari principali, il </w:t>
      </w:r>
      <w:proofErr w:type="spellStart"/>
      <w:r w:rsidRPr="00DB16C1">
        <w:t>Belikh</w:t>
      </w:r>
      <w:proofErr w:type="spellEnd"/>
      <w:r w:rsidRPr="00DB16C1">
        <w:t xml:space="preserve"> e il </w:t>
      </w:r>
      <w:proofErr w:type="spellStart"/>
      <w:r w:rsidRPr="00DB16C1">
        <w:t>Khabur</w:t>
      </w:r>
      <w:proofErr w:type="spellEnd"/>
      <w:r w:rsidRPr="00DB16C1">
        <w:t xml:space="preserve">, anch’essi provenienti dalla Turchia. Con lo sbarramento del </w:t>
      </w:r>
      <w:proofErr w:type="spellStart"/>
      <w:r w:rsidRPr="00DB16C1">
        <w:t>Khabur</w:t>
      </w:r>
      <w:proofErr w:type="spellEnd"/>
      <w:r w:rsidRPr="00DB16C1">
        <w:t xml:space="preserve"> è stato realizzato il lago artificiale al-</w:t>
      </w:r>
      <w:proofErr w:type="spellStart"/>
      <w:r w:rsidRPr="00DB16C1">
        <w:t>Assad</w:t>
      </w:r>
      <w:proofErr w:type="spellEnd"/>
      <w:r w:rsidRPr="00DB16C1">
        <w:t>, il più esteso della Siria. Il secondo fiume è l’</w:t>
      </w:r>
      <w:proofErr w:type="spellStart"/>
      <w:r w:rsidRPr="00DB16C1">
        <w:rPr>
          <w:b/>
          <w:bCs/>
        </w:rPr>
        <w:t>Oronte</w:t>
      </w:r>
      <w:proofErr w:type="spellEnd"/>
      <w:r w:rsidRPr="00DB16C1">
        <w:t xml:space="preserve">: nasce dalla catena del Libano, scorre da sud a nord e sfocia nel Mediterraneo in territorio turco. Lungo il suo corso sono state realizzate alcune dighe che formano importanti bacini lacustri. A nord-est, per un breve tratto, vi è anche il </w:t>
      </w:r>
      <w:r w:rsidRPr="00DB16C1">
        <w:rPr>
          <w:b/>
          <w:bCs/>
        </w:rPr>
        <w:t>Tigri</w:t>
      </w:r>
      <w:r w:rsidRPr="00DB16C1">
        <w:t xml:space="preserve">. Il resto del sistema idrico è costituito da </w:t>
      </w:r>
      <w:proofErr w:type="spellStart"/>
      <w:r w:rsidRPr="00DB16C1">
        <w:rPr>
          <w:b/>
          <w:bCs/>
          <w:i/>
          <w:iCs/>
        </w:rPr>
        <w:t>uidian</w:t>
      </w:r>
      <w:proofErr w:type="spellEnd"/>
      <w:r w:rsidRPr="00DB16C1">
        <w:t xml:space="preserve">, torrenti carichi di acqua solo nel periodo delle piogge. </w:t>
      </w:r>
    </w:p>
    <w:p w:rsidR="00DB16C1" w:rsidRPr="00DB16C1" w:rsidRDefault="00DB16C1" w:rsidP="00DB16C1">
      <w:pPr>
        <w:rPr>
          <w:lang w:val="en-GB"/>
        </w:rPr>
      </w:pPr>
      <w:r w:rsidRPr="00DB16C1">
        <w:t xml:space="preserve">Da quasi un secolo, la </w:t>
      </w:r>
      <w:r w:rsidRPr="00DB16C1">
        <w:rPr>
          <w:b/>
          <w:bCs/>
        </w:rPr>
        <w:t xml:space="preserve">gestione delle acque fluviali </w:t>
      </w:r>
      <w:r w:rsidRPr="00DB16C1">
        <w:t>è motivo di tensione fra la Turchia, la Siria e l’Iraq. La Turchia, infatti, ha già realizzato numerosi e imponenti invasi (e altri sono in progetto) che riducono la portata dei fiumi i quali arrivano impoveriti in territorio siriano e ancor più in quello iracheno.</w:t>
      </w:r>
    </w:p>
    <w:p w:rsidR="00DB16C1" w:rsidRDefault="00DB16C1" w:rsidP="00DB16C1">
      <w:pPr>
        <w:rPr>
          <w:lang w:val="en-GB"/>
        </w:rPr>
      </w:pPr>
    </w:p>
    <w:tbl>
      <w:tblPr>
        <w:tblW w:w="0" w:type="auto"/>
        <w:tblInd w:w="113" w:type="dxa"/>
        <w:tblLayout w:type="fixed"/>
        <w:tblCellMar>
          <w:left w:w="0" w:type="dxa"/>
          <w:right w:w="0" w:type="dxa"/>
        </w:tblCellMar>
        <w:tblLook w:val="0000" w:firstRow="0" w:lastRow="0" w:firstColumn="0" w:lastColumn="0" w:noHBand="0" w:noVBand="0"/>
      </w:tblPr>
      <w:tblGrid>
        <w:gridCol w:w="687"/>
        <w:gridCol w:w="4235"/>
      </w:tblGrid>
      <w:tr w:rsidR="00DB16C1">
        <w:tblPrEx>
          <w:tblCellMar>
            <w:top w:w="0" w:type="dxa"/>
            <w:left w:w="0" w:type="dxa"/>
            <w:bottom w:w="0" w:type="dxa"/>
            <w:right w:w="0" w:type="dxa"/>
          </w:tblCellMar>
        </w:tblPrEx>
        <w:trPr>
          <w:trHeight w:val="60"/>
        </w:trPr>
        <w:tc>
          <w:tcPr>
            <w:tcW w:w="4922" w:type="dxa"/>
            <w:gridSpan w:val="2"/>
            <w:tcBorders>
              <w:top w:val="single" w:sz="4" w:space="0" w:color="000000"/>
              <w:left w:val="single" w:sz="4" w:space="0" w:color="000000"/>
              <w:bottom w:val="single" w:sz="4" w:space="0" w:color="000000"/>
              <w:right w:val="nil"/>
            </w:tcBorders>
            <w:shd w:val="solid" w:color="D12229" w:fill="auto"/>
            <w:tcMar>
              <w:top w:w="113" w:type="dxa"/>
              <w:left w:w="113" w:type="dxa"/>
              <w:bottom w:w="113" w:type="dxa"/>
              <w:right w:w="113" w:type="dxa"/>
            </w:tcMar>
          </w:tcPr>
          <w:p w:rsidR="00DB16C1" w:rsidRDefault="00DB16C1">
            <w:pPr>
              <w:pStyle w:val="06boxesercizi"/>
            </w:pPr>
            <w:r>
              <w:rPr>
                <w:rFonts w:ascii="HelveticaNeue-BoldCond" w:hAnsi="HelveticaNeue-BoldCond" w:cs="HelveticaNeue-BoldCond"/>
                <w:b/>
                <w:bCs/>
                <w:caps/>
                <w:color w:val="FFFFFF"/>
                <w:sz w:val="20"/>
                <w:szCs w:val="20"/>
              </w:rPr>
              <w:t xml:space="preserve">Sintetica cronologia del conflitto per l’acqua </w:t>
            </w:r>
            <w:r>
              <w:rPr>
                <w:rFonts w:ascii="HelveticaNeue-BoldCond" w:hAnsi="HelveticaNeue-BoldCond" w:cs="HelveticaNeue-BoldCond"/>
                <w:b/>
                <w:bCs/>
                <w:caps/>
                <w:color w:val="FFFFFF"/>
                <w:sz w:val="20"/>
                <w:szCs w:val="20"/>
              </w:rPr>
              <w:br/>
              <w:t>fra Siria, Turchia, Iraq</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1916</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pacing w:val="-4"/>
                <w:sz w:val="20"/>
                <w:szCs w:val="20"/>
              </w:rPr>
              <w:t xml:space="preserve">Accordo anglo-francese per la spartizione della parte araba dell’impero ottomano e la creazione delle attuali frontiere degli stati </w:t>
            </w:r>
            <w:proofErr w:type="gramStart"/>
            <w:r>
              <w:rPr>
                <w:spacing w:val="-4"/>
                <w:sz w:val="20"/>
                <w:szCs w:val="20"/>
              </w:rPr>
              <w:t>del</w:t>
            </w:r>
            <w:proofErr w:type="gramEnd"/>
            <w:r>
              <w:rPr>
                <w:spacing w:val="-4"/>
                <w:sz w:val="20"/>
                <w:szCs w:val="20"/>
              </w:rPr>
              <w:t xml:space="preserve"> Medio Oriente; una clausola prevede la garanzia di un’equa spartizione delle acque dei fiumi della regione (accordo </w:t>
            </w:r>
            <w:proofErr w:type="spellStart"/>
            <w:r>
              <w:rPr>
                <w:spacing w:val="-4"/>
                <w:sz w:val="20"/>
                <w:szCs w:val="20"/>
              </w:rPr>
              <w:t>Sykes-Picot</w:t>
            </w:r>
            <w:proofErr w:type="spellEnd"/>
            <w:r>
              <w:rPr>
                <w:spacing w:val="-4"/>
                <w:sz w:val="20"/>
                <w:szCs w:val="20"/>
              </w:rPr>
              <w:t>).</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1923-1930</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pacing w:val="-4"/>
                <w:sz w:val="20"/>
                <w:szCs w:val="20"/>
              </w:rPr>
              <w:t>Trattato di Losanna, Convenzione di Ankara, Trattato di Aleppo</w:t>
            </w:r>
            <w:r>
              <w:rPr>
                <w:sz w:val="20"/>
                <w:szCs w:val="20"/>
              </w:rPr>
              <w:t xml:space="preserve">: in ognuno di questi accordi, Francia (in nome della Siria, sotto suo mandato) e Turchia </w:t>
            </w:r>
            <w:proofErr w:type="gramStart"/>
            <w:r>
              <w:rPr>
                <w:sz w:val="20"/>
                <w:szCs w:val="20"/>
              </w:rPr>
              <w:t>affermano</w:t>
            </w:r>
            <w:proofErr w:type="gramEnd"/>
            <w:r>
              <w:rPr>
                <w:sz w:val="20"/>
                <w:szCs w:val="20"/>
              </w:rPr>
              <w:t xml:space="preserve"> la necessità di arrivare a una giusta spartizione delle acque dell’Eufrate.</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1961-1974</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 xml:space="preserve">Tentativi di accordi separati fra Siria e Iraq, Siria e Turchia; durante i negoziati Turchia, Siria, Iraq </w:t>
            </w:r>
            <w:proofErr w:type="gramStart"/>
            <w:r>
              <w:rPr>
                <w:sz w:val="20"/>
                <w:szCs w:val="20"/>
              </w:rPr>
              <w:t>rivendicano</w:t>
            </w:r>
            <w:proofErr w:type="gramEnd"/>
            <w:r>
              <w:rPr>
                <w:sz w:val="20"/>
                <w:szCs w:val="20"/>
              </w:rPr>
              <w:t xml:space="preserve"> rispettivamente 14, 13, 18 miliardi di m³ di acqua dell’Eufrate, una volta e mezzo il deflusso annuo del fiume.</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1973</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 xml:space="preserve">Turchia: costruzione sull’Eufrate della prima diga, quella di </w:t>
            </w:r>
            <w:proofErr w:type="spellStart"/>
            <w:r>
              <w:rPr>
                <w:sz w:val="20"/>
                <w:szCs w:val="20"/>
              </w:rPr>
              <w:t>Keban</w:t>
            </w:r>
            <w:proofErr w:type="spellEnd"/>
            <w:r>
              <w:rPr>
                <w:sz w:val="20"/>
                <w:szCs w:val="20"/>
              </w:rPr>
              <w:t xml:space="preserve">. </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1974</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proofErr w:type="gramStart"/>
            <w:r>
              <w:rPr>
                <w:sz w:val="20"/>
                <w:szCs w:val="20"/>
              </w:rPr>
              <w:t xml:space="preserve">Siria: riempimento della diga di </w:t>
            </w:r>
            <w:proofErr w:type="spellStart"/>
            <w:r>
              <w:rPr>
                <w:sz w:val="20"/>
                <w:szCs w:val="20"/>
              </w:rPr>
              <w:t>Tabqa</w:t>
            </w:r>
            <w:proofErr w:type="spellEnd"/>
            <w:r>
              <w:rPr>
                <w:sz w:val="20"/>
                <w:szCs w:val="20"/>
              </w:rPr>
              <w:t xml:space="preserve"> e creazione del lago Al </w:t>
            </w:r>
            <w:proofErr w:type="spellStart"/>
            <w:r>
              <w:rPr>
                <w:sz w:val="20"/>
                <w:szCs w:val="20"/>
              </w:rPr>
              <w:t>Assad</w:t>
            </w:r>
            <w:proofErr w:type="spellEnd"/>
            <w:r>
              <w:rPr>
                <w:sz w:val="20"/>
                <w:szCs w:val="20"/>
              </w:rPr>
              <w:t>.</w:t>
            </w:r>
            <w:proofErr w:type="gramEnd"/>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1975</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pacing w:val="-4"/>
                <w:sz w:val="20"/>
                <w:szCs w:val="20"/>
              </w:rPr>
              <w:t>La Lega Araba istituisce un comitato tecnico per negoziare la questione dell’acqua fra Siria e Iraq; peggioramento delle relazioni diplomatiche fra i due stati, con rischio di conflitto armato; intervento di mediazione degli Usa e dell’Urss; stipulazione di un accordo segreto: impegno della Siria a cedere all’Iraq il 58% dell’acqua dell’Eufrate che riceve dalla Turchia.</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2012</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Nessun accordo è stato finora raggiunto.</w:t>
            </w:r>
          </w:p>
        </w:tc>
      </w:tr>
    </w:tbl>
    <w:p w:rsidR="00DB16C1" w:rsidRPr="00DB16C1" w:rsidRDefault="00DB16C1" w:rsidP="00DB16C1">
      <w:pPr>
        <w:rPr>
          <w:lang w:val="en-GB"/>
        </w:rPr>
      </w:pPr>
    </w:p>
    <w:p w:rsidR="00DB16C1" w:rsidRPr="00DB16C1" w:rsidRDefault="00DB16C1" w:rsidP="00DB16C1">
      <w:pPr>
        <w:rPr>
          <w:b/>
          <w:bCs/>
        </w:rPr>
      </w:pPr>
      <w:r w:rsidRPr="00DB16C1">
        <w:rPr>
          <w:b/>
          <w:bCs/>
        </w:rPr>
        <w:t xml:space="preserve">Un paese multietnico e multiculturale </w:t>
      </w:r>
    </w:p>
    <w:p w:rsidR="00DB16C1" w:rsidRPr="00DB16C1" w:rsidRDefault="00DB16C1" w:rsidP="00DB16C1">
      <w:r w:rsidRPr="00DB16C1">
        <w:t xml:space="preserve">La Siria è uno stato multietnico e multiculturale. Gli </w:t>
      </w:r>
      <w:r w:rsidRPr="00DB16C1">
        <w:rPr>
          <w:b/>
          <w:bCs/>
        </w:rPr>
        <w:t>arabi</w:t>
      </w:r>
      <w:r w:rsidRPr="00DB16C1">
        <w:t xml:space="preserve"> sono oltre l’80%, il restante 20% è composto </w:t>
      </w:r>
      <w:proofErr w:type="gramStart"/>
      <w:r w:rsidRPr="00DB16C1">
        <w:t>da</w:t>
      </w:r>
      <w:proofErr w:type="gramEnd"/>
      <w:r w:rsidRPr="00DB16C1">
        <w:t xml:space="preserve"> </w:t>
      </w:r>
      <w:r w:rsidRPr="00DB16C1">
        <w:rPr>
          <w:b/>
          <w:bCs/>
        </w:rPr>
        <w:t>curdi</w:t>
      </w:r>
      <w:r w:rsidRPr="00DB16C1">
        <w:t>,</w:t>
      </w:r>
      <w:r w:rsidRPr="00DB16C1">
        <w:rPr>
          <w:b/>
          <w:bCs/>
        </w:rPr>
        <w:t xml:space="preserve"> armeni</w:t>
      </w:r>
      <w:r w:rsidRPr="00DB16C1">
        <w:t xml:space="preserve"> e </w:t>
      </w:r>
      <w:r w:rsidRPr="00DB16C1">
        <w:rPr>
          <w:b/>
          <w:bCs/>
        </w:rPr>
        <w:t>altri</w:t>
      </w:r>
      <w:r w:rsidRPr="00DB16C1">
        <w:t xml:space="preserve"> </w:t>
      </w:r>
      <w:r w:rsidRPr="00DB16C1">
        <w:rPr>
          <w:b/>
          <w:bCs/>
        </w:rPr>
        <w:t>gruppi minori</w:t>
      </w:r>
      <w:r w:rsidRPr="00DB16C1">
        <w:t>, la cui presenza è legata alla posizione geografica e alla configurazione del territorio, che hanno favorito la formazione di isole etniche e culturali. Lo stesso vale per la religione: l’</w:t>
      </w:r>
      <w:r w:rsidRPr="00DB16C1">
        <w:rPr>
          <w:b/>
          <w:bCs/>
        </w:rPr>
        <w:t>islam</w:t>
      </w:r>
      <w:r w:rsidRPr="00DB16C1">
        <w:t xml:space="preserve"> di confessione</w:t>
      </w:r>
      <w:r w:rsidRPr="00DB16C1">
        <w:rPr>
          <w:b/>
          <w:bCs/>
        </w:rPr>
        <w:t xml:space="preserve"> </w:t>
      </w:r>
      <w:r w:rsidRPr="00DB16C1">
        <w:t xml:space="preserve">sunnita è nettamente prevalente, ma vi sono anche altre sette musulmane (sciiti, </w:t>
      </w:r>
      <w:proofErr w:type="spellStart"/>
      <w:r w:rsidRPr="00DB16C1">
        <w:t>alawiti</w:t>
      </w:r>
      <w:proofErr w:type="spellEnd"/>
      <w:r w:rsidRPr="00DB16C1">
        <w:t xml:space="preserve">, drusi ecc.), </w:t>
      </w:r>
      <w:r w:rsidRPr="00DB16C1">
        <w:rPr>
          <w:b/>
          <w:bCs/>
        </w:rPr>
        <w:t xml:space="preserve">cristiani </w:t>
      </w:r>
      <w:r w:rsidRPr="00DB16C1">
        <w:t>di varie confessioni e piccoli gruppi di</w:t>
      </w:r>
      <w:r w:rsidRPr="00DB16C1">
        <w:rPr>
          <w:b/>
          <w:bCs/>
        </w:rPr>
        <w:t xml:space="preserve"> ebrei</w:t>
      </w:r>
      <w:r w:rsidRPr="00DB16C1">
        <w:t>. Il legante culturale</w:t>
      </w:r>
      <w:r w:rsidRPr="00DB16C1">
        <w:rPr>
          <w:b/>
          <w:bCs/>
        </w:rPr>
        <w:t xml:space="preserve"> </w:t>
      </w:r>
      <w:r w:rsidRPr="00DB16C1">
        <w:t>del paese è la lingua,</w:t>
      </w:r>
      <w:r w:rsidRPr="00DB16C1">
        <w:rPr>
          <w:b/>
          <w:bCs/>
        </w:rPr>
        <w:t xml:space="preserve"> </w:t>
      </w:r>
      <w:r w:rsidRPr="00DB16C1">
        <w:t>l’</w:t>
      </w:r>
      <w:r w:rsidRPr="00DB16C1">
        <w:rPr>
          <w:b/>
          <w:bCs/>
        </w:rPr>
        <w:t>arabo</w:t>
      </w:r>
      <w:r w:rsidRPr="00DB16C1">
        <w:t xml:space="preserve">; a livello locale, tuttavia, sono parlate lingue minoritarie (curdo, armeno, aramaico, circasso, vari dialetti). </w:t>
      </w:r>
    </w:p>
    <w:p w:rsidR="00DB16C1" w:rsidRPr="00DB16C1" w:rsidRDefault="00DB16C1" w:rsidP="00DB16C1">
      <w:r w:rsidRPr="00DB16C1">
        <w:t>Dal punto di vista</w:t>
      </w:r>
      <w:r w:rsidRPr="00DB16C1">
        <w:rPr>
          <w:b/>
          <w:bCs/>
        </w:rPr>
        <w:t xml:space="preserve"> </w:t>
      </w:r>
      <w:r w:rsidRPr="00DB16C1">
        <w:t>demografico e sociale, in Siria stanno avvenendo cambiamenti importanti (</w:t>
      </w:r>
      <w:r w:rsidRPr="00DB16C1">
        <w:rPr>
          <w:b/>
          <w:bCs/>
        </w:rPr>
        <w:t xml:space="preserve">Tabelle 1 e </w:t>
      </w:r>
      <w:proofErr w:type="gramStart"/>
      <w:r w:rsidRPr="00DB16C1">
        <w:rPr>
          <w:b/>
          <w:bCs/>
        </w:rPr>
        <w:t>2</w:t>
      </w:r>
      <w:proofErr w:type="gramEnd"/>
      <w:r w:rsidRPr="00DB16C1">
        <w:t xml:space="preserve">). I </w:t>
      </w:r>
      <w:proofErr w:type="spellStart"/>
      <w:r w:rsidRPr="00DB16C1">
        <w:t>progessi</w:t>
      </w:r>
      <w:proofErr w:type="spellEnd"/>
      <w:r w:rsidRPr="00DB16C1">
        <w:t xml:space="preserve"> nel campo dell’istruzione per entrambi i sessi, l’abbandono della tradizione dei matrimoni endogamici e l’innalzamento dell’età del matrimonio per le ragazze (solo il 15% si sposa ancora adolescente) </w:t>
      </w:r>
      <w:proofErr w:type="gramStart"/>
      <w:r w:rsidRPr="00DB16C1">
        <w:t>testimoniano</w:t>
      </w:r>
      <w:proofErr w:type="gramEnd"/>
      <w:r w:rsidRPr="00DB16C1">
        <w:t xml:space="preserve"> che la famiglia tradizionale e le relazioni familiari di tipo tribale si stanno dissolvendo. Ne è conseguenza la </w:t>
      </w:r>
      <w:r w:rsidRPr="00DB16C1">
        <w:rPr>
          <w:b/>
          <w:bCs/>
        </w:rPr>
        <w:t>riduzione del tasso di natalità</w:t>
      </w:r>
      <w:r w:rsidRPr="00DB16C1">
        <w:t xml:space="preserve">, quasi dimezzato in quarant’anni, e del </w:t>
      </w:r>
      <w:r w:rsidRPr="00DB16C1">
        <w:rPr>
          <w:b/>
          <w:bCs/>
        </w:rPr>
        <w:t>numero medio di figli per donna</w:t>
      </w:r>
      <w:r w:rsidRPr="00DB16C1">
        <w:t xml:space="preserve">, passato nello stesso periodo da 7,7 a 2,8. Da qualche tempo, infatti, il paese è entrato nella cosiddetta </w:t>
      </w:r>
      <w:r w:rsidRPr="00DB16C1">
        <w:rPr>
          <w:b/>
          <w:bCs/>
        </w:rPr>
        <w:t>transizione demografica</w:t>
      </w:r>
      <w:r w:rsidRPr="00DB16C1">
        <w:t>: la popolazione continuerà ad aumentare ancora per almeno tre decenni, ma già attorno al 2025 il tasso di fecondità dovrebbe abbassarsi fino alla soglia fisiologica di 2,1 figli per donna. La struttura della popolazione per classi di età, a sua volta, riflette questi cambiamenti, come dimostra l’</w:t>
      </w:r>
      <w:r w:rsidRPr="00DB16C1">
        <w:rPr>
          <w:b/>
          <w:bCs/>
        </w:rPr>
        <w:t>innalzamento dell’età media</w:t>
      </w:r>
      <w:r w:rsidRPr="00DB16C1">
        <w:t xml:space="preserve">, passata da 15,7 a 21,1 anni nel periodo 1990-2010. </w:t>
      </w:r>
    </w:p>
    <w:p w:rsidR="00DB16C1" w:rsidRPr="00DB16C1" w:rsidRDefault="00DB16C1" w:rsidP="00DB16C1">
      <w:r w:rsidRPr="00DB16C1">
        <w:t xml:space="preserve">Va inoltre osservato che secondo le stime delle agenzie delle Nazioni Unite, le </w:t>
      </w:r>
      <w:r w:rsidRPr="00DB16C1">
        <w:rPr>
          <w:b/>
          <w:bCs/>
        </w:rPr>
        <w:t>condizioni socio-economiche</w:t>
      </w:r>
      <w:r w:rsidRPr="00DB16C1">
        <w:t xml:space="preserve"> della popolazione siriana evidenziano profondi divari fra una minoranza agiata e una consistente quota, quasi il 18%, che ha un reddito inferiore a 2 dollari Usa </w:t>
      </w:r>
      <w:proofErr w:type="gramStart"/>
      <w:r w:rsidRPr="00DB16C1">
        <w:t>al</w:t>
      </w:r>
      <w:proofErr w:type="gramEnd"/>
      <w:r w:rsidRPr="00DB16C1">
        <w:t xml:space="preserve"> giorno, che sale al 30%, se si considera la soglia di povertà nazionale. </w:t>
      </w:r>
    </w:p>
    <w:p w:rsidR="00DB16C1" w:rsidRPr="00DB16C1" w:rsidRDefault="00DB16C1" w:rsidP="00DB16C1">
      <w:pPr>
        <w:rPr>
          <w:b/>
          <w:bCs/>
        </w:rPr>
      </w:pPr>
    </w:p>
    <w:p w:rsidR="00DB16C1" w:rsidRPr="00DB16C1" w:rsidRDefault="00DB16C1" w:rsidP="00DB16C1">
      <w:pPr>
        <w:rPr>
          <w:b/>
          <w:bCs/>
        </w:rPr>
      </w:pPr>
      <w:r w:rsidRPr="00DB16C1">
        <w:rPr>
          <w:b/>
          <w:bCs/>
        </w:rPr>
        <w:t xml:space="preserve">I siriani si concentrano a ovest </w:t>
      </w:r>
    </w:p>
    <w:p w:rsidR="00DB16C1" w:rsidRPr="00DB16C1" w:rsidRDefault="00DB16C1" w:rsidP="00DB16C1">
      <w:r w:rsidRPr="00DB16C1">
        <w:t>In ragione delle condizioni ambientali, l’</w:t>
      </w:r>
      <w:r w:rsidRPr="00DB16C1">
        <w:rPr>
          <w:b/>
          <w:bCs/>
        </w:rPr>
        <w:t xml:space="preserve">insediamento </w:t>
      </w:r>
      <w:r w:rsidRPr="00DB16C1">
        <w:t xml:space="preserve">è in prevalenza </w:t>
      </w:r>
      <w:r w:rsidRPr="00DB16C1">
        <w:rPr>
          <w:b/>
          <w:bCs/>
        </w:rPr>
        <w:t>urbano</w:t>
      </w:r>
      <w:r w:rsidRPr="00DB16C1">
        <w:t xml:space="preserve"> e si concentra nella </w:t>
      </w:r>
      <w:r w:rsidRPr="00DB16C1">
        <w:rPr>
          <w:b/>
          <w:bCs/>
        </w:rPr>
        <w:t>regione occidentale</w:t>
      </w:r>
      <w:r w:rsidRPr="00DB16C1">
        <w:t xml:space="preserve">, dove vive circa </w:t>
      </w:r>
      <w:proofErr w:type="gramStart"/>
      <w:r w:rsidRPr="00DB16C1">
        <w:t>l’80%</w:t>
      </w:r>
      <w:proofErr w:type="gramEnd"/>
      <w:r w:rsidRPr="00DB16C1">
        <w:t xml:space="preserve"> della popolazione. La rete urbana moderna ricalca all’incirca quella antica e segue le direttrici storiche delle vie carovaniere. Si riconosce, infatti, </w:t>
      </w:r>
      <w:proofErr w:type="gramStart"/>
      <w:r w:rsidRPr="00DB16C1">
        <w:t xml:space="preserve">una </w:t>
      </w:r>
      <w:r w:rsidRPr="00DB16C1">
        <w:rPr>
          <w:b/>
          <w:bCs/>
        </w:rPr>
        <w:t>direttrice nord-sud</w:t>
      </w:r>
      <w:proofErr w:type="gramEnd"/>
      <w:r w:rsidRPr="00DB16C1">
        <w:t xml:space="preserve">, che fa capo ad Aleppo e a Damasco (era la via che univa l’Anatolia all’Egitto), e una settentrionale, con </w:t>
      </w:r>
      <w:r w:rsidRPr="00DB16C1">
        <w:rPr>
          <w:b/>
          <w:bCs/>
        </w:rPr>
        <w:t>direzione est-ovest</w:t>
      </w:r>
      <w:r w:rsidRPr="00DB16C1">
        <w:t xml:space="preserve">, che, seguendo il corso dell’Eufrate, collegava la Mesopotamia e il Golfo Persico ai porti del Mediterraneo passando per </w:t>
      </w:r>
      <w:proofErr w:type="spellStart"/>
      <w:r w:rsidRPr="00DB16C1">
        <w:t>Dayr</w:t>
      </w:r>
      <w:proofErr w:type="spellEnd"/>
      <w:r w:rsidRPr="00DB16C1">
        <w:t xml:space="preserve"> </w:t>
      </w:r>
      <w:proofErr w:type="spellStart"/>
      <w:r w:rsidRPr="00DB16C1">
        <w:t>az-Zawr</w:t>
      </w:r>
      <w:proofErr w:type="spellEnd"/>
      <w:r w:rsidRPr="00DB16C1">
        <w:t xml:space="preserve">, </w:t>
      </w:r>
      <w:proofErr w:type="spellStart"/>
      <w:r w:rsidRPr="00DB16C1">
        <w:t>Ar-Raqqah</w:t>
      </w:r>
      <w:proofErr w:type="spellEnd"/>
      <w:r w:rsidRPr="00DB16C1">
        <w:t xml:space="preserve">, Aleppo. In posizione intermedia fra Aleppo e Damasco si sono sviluppate Hamah e </w:t>
      </w:r>
      <w:proofErr w:type="spellStart"/>
      <w:r w:rsidRPr="00DB16C1">
        <w:t>Homs</w:t>
      </w:r>
      <w:proofErr w:type="spellEnd"/>
      <w:r w:rsidRPr="00DB16C1">
        <w:t xml:space="preserve">. La crescita urbana negli ultimi decenni è stata particolarmente intensa attorno alle maggiori città, dove si sono sviluppate immense periferie: Damasco, la capitale, forma un’area metropolitana di oltre 2,5 milioni di abitanti; Aleppo, la città più popolosa della Siria, si avvicina a </w:t>
      </w:r>
      <w:proofErr w:type="gramStart"/>
      <w:r w:rsidRPr="00DB16C1">
        <w:t>3</w:t>
      </w:r>
      <w:proofErr w:type="gramEnd"/>
      <w:r w:rsidRPr="00DB16C1">
        <w:t xml:space="preserve"> milioni. </w:t>
      </w:r>
    </w:p>
    <w:p w:rsidR="00DB16C1" w:rsidRPr="00DB16C1" w:rsidRDefault="00DB16C1" w:rsidP="00DB16C1">
      <w:pPr>
        <w:rPr>
          <w:b/>
          <w:bCs/>
        </w:rPr>
      </w:pPr>
    </w:p>
    <w:p w:rsidR="00DB16C1" w:rsidRPr="00DB16C1" w:rsidRDefault="00DB16C1" w:rsidP="00DB16C1">
      <w:pPr>
        <w:rPr>
          <w:b/>
          <w:bCs/>
        </w:rPr>
      </w:pPr>
      <w:r w:rsidRPr="00DB16C1">
        <w:rPr>
          <w:b/>
          <w:bCs/>
        </w:rPr>
        <w:t xml:space="preserve">Un paese avviato all’economia di mercato </w:t>
      </w:r>
    </w:p>
    <w:p w:rsidR="00DB16C1" w:rsidRPr="00DB16C1" w:rsidRDefault="00DB16C1" w:rsidP="00DB16C1">
      <w:r w:rsidRPr="00DB16C1">
        <w:t xml:space="preserve">Le caratteristiche dell’economia siriana derivano da alcune premesse. Dalle </w:t>
      </w:r>
      <w:r w:rsidRPr="00DB16C1">
        <w:rPr>
          <w:b/>
          <w:bCs/>
        </w:rPr>
        <w:t>caratteristiche ambientali</w:t>
      </w:r>
      <w:r w:rsidRPr="00DB16C1">
        <w:t xml:space="preserve"> dipendono le scelte in campo agricolo e la necessità di realizzare grandi interventi idraulici per estendere le aree irrigue; dalla </w:t>
      </w:r>
      <w:r w:rsidRPr="00DB16C1">
        <w:rPr>
          <w:b/>
          <w:bCs/>
        </w:rPr>
        <w:t>scarsità di materie prime</w:t>
      </w:r>
      <w:r w:rsidRPr="00DB16C1">
        <w:t xml:space="preserve"> </w:t>
      </w:r>
      <w:proofErr w:type="gramStart"/>
      <w:r w:rsidRPr="00DB16C1">
        <w:t>è</w:t>
      </w:r>
      <w:proofErr w:type="gramEnd"/>
      <w:r w:rsidRPr="00DB16C1">
        <w:t xml:space="preserve"> derivata la scarsa diversificazione dell’economia, dipendente in larga parte dallo sfruttamento dei non ricchi giacimenti di petrolio, circa la metà del quale è esportata. L’</w:t>
      </w:r>
      <w:r w:rsidRPr="00DB16C1">
        <w:rPr>
          <w:b/>
          <w:bCs/>
        </w:rPr>
        <w:t xml:space="preserve">instabilità politica </w:t>
      </w:r>
      <w:r w:rsidRPr="00DB16C1">
        <w:t xml:space="preserve">della regione è poi all’origine delle enormi spese militari, che in certi periodi hanno assorbito quasi il 40% del </w:t>
      </w:r>
      <w:proofErr w:type="spellStart"/>
      <w:r w:rsidRPr="00DB16C1">
        <w:t>Pil</w:t>
      </w:r>
      <w:proofErr w:type="spellEnd"/>
      <w:r w:rsidRPr="00DB16C1">
        <w:t xml:space="preserve"> (ora si stimano attorno al 3,5%). Infine, l’</w:t>
      </w:r>
      <w:r w:rsidRPr="00DB16C1">
        <w:rPr>
          <w:b/>
          <w:bCs/>
        </w:rPr>
        <w:t xml:space="preserve">impostazione socialista </w:t>
      </w:r>
      <w:r w:rsidRPr="00DB16C1">
        <w:t xml:space="preserve">del partito Baath ha dato il via a piani quinquennali gestiti dallo stato, che hanno fortemente limitato </w:t>
      </w:r>
      <w:proofErr w:type="gramStart"/>
      <w:r w:rsidRPr="00DB16C1">
        <w:t>l’iniziativa privata e tenuto</w:t>
      </w:r>
      <w:proofErr w:type="gramEnd"/>
      <w:r w:rsidRPr="00DB16C1">
        <w:t xml:space="preserve"> lontano gli investimenti diretti esteri. </w:t>
      </w:r>
    </w:p>
    <w:p w:rsidR="00DB16C1" w:rsidRPr="00DB16C1" w:rsidRDefault="00DB16C1" w:rsidP="00DB16C1">
      <w:r w:rsidRPr="00DB16C1">
        <w:t>Dall’indipendenza la Siria ha sviluppato, tuttavia, un’</w:t>
      </w:r>
      <w:r w:rsidRPr="00DB16C1">
        <w:rPr>
          <w:b/>
          <w:bCs/>
        </w:rPr>
        <w:t>economia</w:t>
      </w:r>
      <w:r w:rsidRPr="00DB16C1">
        <w:t xml:space="preserve"> discretamente</w:t>
      </w:r>
      <w:r w:rsidRPr="00DB16C1">
        <w:rPr>
          <w:b/>
          <w:bCs/>
        </w:rPr>
        <w:t xml:space="preserve"> solida</w:t>
      </w:r>
      <w:r w:rsidRPr="00DB16C1">
        <w:t xml:space="preserve">. Nell’ultimo decennio sono emersi, però, alcuni </w:t>
      </w:r>
      <w:r w:rsidRPr="00DB16C1">
        <w:rPr>
          <w:b/>
          <w:bCs/>
        </w:rPr>
        <w:t xml:space="preserve">nodi </w:t>
      </w:r>
      <w:proofErr w:type="gramStart"/>
      <w:r w:rsidRPr="00DB16C1">
        <w:rPr>
          <w:b/>
          <w:bCs/>
        </w:rPr>
        <w:t>problematici</w:t>
      </w:r>
      <w:proofErr w:type="gramEnd"/>
      <w:r w:rsidRPr="00DB16C1">
        <w:t xml:space="preserve">, quali, per esempio, l’eccessiva dipendenza dal petrolio, la scarsa produttività della pubblica amministrazione, la limitatezza dell’iniziativa privata, l’assenza di investimenti dall’estero e di un sistema bancario. A questi occorre aggiungere l’intensa crescita demografica, la disoccupazione e la sottoccupazione giovanile, l’esodo dalle campagne. </w:t>
      </w:r>
    </w:p>
    <w:p w:rsidR="00DB16C1" w:rsidRPr="00DB16C1" w:rsidRDefault="00DB16C1" w:rsidP="00DB16C1">
      <w:r w:rsidRPr="00DB16C1">
        <w:t xml:space="preserve">Con lentezza, il governo ha avviato una parziale apertura del mercato finanziario che ha portato alla nascita di alcune banche, controllate tuttavia almeno per il 51% dallo stato, alla </w:t>
      </w:r>
      <w:r w:rsidRPr="00DB16C1">
        <w:rPr>
          <w:b/>
          <w:bCs/>
        </w:rPr>
        <w:t>liberalizzazione del commercio</w:t>
      </w:r>
      <w:r w:rsidRPr="00DB16C1">
        <w:t xml:space="preserve"> in alcuni settori, come quello tessile, all’istituzione di alcune zone franche </w:t>
      </w:r>
      <w:proofErr w:type="gramStart"/>
      <w:r w:rsidRPr="00DB16C1">
        <w:t>attorno  Damasco</w:t>
      </w:r>
      <w:proofErr w:type="gramEnd"/>
      <w:r w:rsidRPr="00DB16C1">
        <w:t xml:space="preserve">, Aleppo, </w:t>
      </w:r>
      <w:proofErr w:type="spellStart"/>
      <w:r w:rsidRPr="00DB16C1">
        <w:t>Latakia</w:t>
      </w:r>
      <w:proofErr w:type="spellEnd"/>
      <w:r w:rsidRPr="00DB16C1">
        <w:t xml:space="preserve"> e </w:t>
      </w:r>
      <w:proofErr w:type="spellStart"/>
      <w:r w:rsidRPr="00DB16C1">
        <w:t>Tartus</w:t>
      </w:r>
      <w:proofErr w:type="spellEnd"/>
      <w:r w:rsidRPr="00DB16C1">
        <w:t xml:space="preserve"> per incoraggiare gli investimenti d’imprese straniere.</w:t>
      </w:r>
    </w:p>
    <w:p w:rsidR="00DB16C1" w:rsidRPr="00DB16C1" w:rsidRDefault="00DB16C1" w:rsidP="00DB16C1"/>
    <w:p w:rsidR="00DB16C1" w:rsidRPr="00DB16C1" w:rsidRDefault="00DB16C1" w:rsidP="00DB16C1">
      <w:pPr>
        <w:rPr>
          <w:b/>
          <w:bCs/>
        </w:rPr>
      </w:pPr>
      <w:r w:rsidRPr="00DB16C1">
        <w:rPr>
          <w:b/>
          <w:bCs/>
        </w:rPr>
        <w:t xml:space="preserve">Le voci dell’economia </w:t>
      </w:r>
    </w:p>
    <w:p w:rsidR="00DB16C1" w:rsidRPr="00DB16C1" w:rsidRDefault="00DB16C1" w:rsidP="00DB16C1">
      <w:r w:rsidRPr="00DB16C1">
        <w:t>Benché l’</w:t>
      </w:r>
      <w:r w:rsidRPr="00DB16C1">
        <w:rPr>
          <w:b/>
          <w:bCs/>
        </w:rPr>
        <w:t>agricoltura</w:t>
      </w:r>
      <w:r w:rsidRPr="00DB16C1">
        <w:t xml:space="preserve"> siriana sia praticata solo su 1/3 del territorio, ha </w:t>
      </w:r>
      <w:proofErr w:type="gramStart"/>
      <w:r w:rsidRPr="00DB16C1">
        <w:t>dato</w:t>
      </w:r>
      <w:proofErr w:type="gramEnd"/>
      <w:r w:rsidRPr="00DB16C1">
        <w:t xml:space="preserve"> prova di notevoli capacità produttive (</w:t>
      </w:r>
      <w:r w:rsidRPr="00DB16C1">
        <w:rPr>
          <w:b/>
          <w:bCs/>
        </w:rPr>
        <w:t>Tabella 3</w:t>
      </w:r>
      <w:r w:rsidRPr="00DB16C1">
        <w:t xml:space="preserve">), grazie alla riforma agraria del 1958 che ha consentito una più equa spartizione delle terre, ai piani governativi di estensione delle aree irrigue, alla meccanizzazione e alla specializzazione produttiva. </w:t>
      </w:r>
    </w:p>
    <w:p w:rsidR="00DB16C1" w:rsidRPr="00DB16C1" w:rsidRDefault="00DB16C1" w:rsidP="00DB16C1">
      <w:r w:rsidRPr="00DB16C1">
        <w:t>L’</w:t>
      </w:r>
      <w:r w:rsidRPr="00DB16C1">
        <w:rPr>
          <w:b/>
          <w:bCs/>
        </w:rPr>
        <w:t xml:space="preserve">attività industriale </w:t>
      </w:r>
      <w:r w:rsidRPr="00DB16C1">
        <w:t>gravita principalmente attorno all’estrazione e raffinazione del</w:t>
      </w:r>
      <w:r w:rsidRPr="00DB16C1">
        <w:rPr>
          <w:b/>
          <w:bCs/>
        </w:rPr>
        <w:t xml:space="preserve"> </w:t>
      </w:r>
      <w:r w:rsidRPr="00DB16C1">
        <w:t xml:space="preserve">petrolio; la Siria, infatti, è il 34° produttore mondiale e il 44° esportatore. Molto attivo è l’artigianato tessile, che produce tessuti e tappeti di alta qualità costituendo un’importante voce delle esportazioni. </w:t>
      </w:r>
    </w:p>
    <w:p w:rsidR="00DB16C1" w:rsidRPr="00DB16C1" w:rsidRDefault="00DB16C1" w:rsidP="00DB16C1">
      <w:r w:rsidRPr="00DB16C1">
        <w:t xml:space="preserve">Il </w:t>
      </w:r>
      <w:r w:rsidRPr="00DB16C1">
        <w:rPr>
          <w:b/>
          <w:bCs/>
        </w:rPr>
        <w:t>settore dei servizi</w:t>
      </w:r>
      <w:r w:rsidRPr="00DB16C1">
        <w:t>, invece, è privo di comparti moderni e vi prevalgono gli addetti alla pubblica amministrazione e alle forze armate.</w:t>
      </w:r>
    </w:p>
    <w:p w:rsidR="00DB16C1" w:rsidRPr="00DB16C1" w:rsidRDefault="00DB16C1" w:rsidP="00DB16C1">
      <w:r w:rsidRPr="00DB16C1">
        <w:t xml:space="preserve">Gli </w:t>
      </w:r>
      <w:r w:rsidRPr="00DB16C1">
        <w:rPr>
          <w:b/>
          <w:bCs/>
        </w:rPr>
        <w:t>scambi commerciali</w:t>
      </w:r>
      <w:r w:rsidRPr="00DB16C1">
        <w:t xml:space="preserve"> avvengono principalmente con gli stati mediorientali e con l’Ue, </w:t>
      </w:r>
      <w:proofErr w:type="gramStart"/>
      <w:r w:rsidRPr="00DB16C1">
        <w:t>ai quali</w:t>
      </w:r>
      <w:proofErr w:type="gramEnd"/>
      <w:r w:rsidRPr="00DB16C1">
        <w:t xml:space="preserve"> di recente si è aggiunta la Cina. Mentre le esportazioni vertono sul petrolio e derivati, su prodotti agroalimentari e tessili, le importazioni riguardano soprattutto macchinari e tecnologia.</w:t>
      </w:r>
    </w:p>
    <w:p w:rsidR="00DB16C1" w:rsidRPr="00DB16C1" w:rsidRDefault="00DB16C1" w:rsidP="00DB16C1">
      <w:pPr>
        <w:rPr>
          <w:lang w:val="en-GB"/>
        </w:rPr>
      </w:pPr>
    </w:p>
    <w:p w:rsidR="00DB16C1" w:rsidRPr="00DB16C1" w:rsidRDefault="00DB16C1" w:rsidP="00DB16C1">
      <w:pPr>
        <w:rPr>
          <w:b/>
          <w:bCs/>
        </w:rPr>
      </w:pPr>
      <w:r w:rsidRPr="00DB16C1">
        <w:rPr>
          <w:b/>
          <w:bCs/>
        </w:rPr>
        <w:t xml:space="preserve">Il turismo condizionato dalle vicende </w:t>
      </w:r>
      <w:proofErr w:type="gramStart"/>
      <w:r w:rsidRPr="00DB16C1">
        <w:rPr>
          <w:b/>
          <w:bCs/>
        </w:rPr>
        <w:t>geopolitiche</w:t>
      </w:r>
      <w:proofErr w:type="gramEnd"/>
      <w:r w:rsidRPr="00DB16C1">
        <w:rPr>
          <w:b/>
          <w:bCs/>
        </w:rPr>
        <w:t xml:space="preserve"> </w:t>
      </w:r>
    </w:p>
    <w:p w:rsidR="00DB16C1" w:rsidRPr="00DB16C1" w:rsidRDefault="00DB16C1" w:rsidP="00DB16C1">
      <w:r w:rsidRPr="00DB16C1">
        <w:t>A parte va considerato il</w:t>
      </w:r>
      <w:r w:rsidRPr="00DB16C1">
        <w:rPr>
          <w:b/>
          <w:bCs/>
        </w:rPr>
        <w:t xml:space="preserve"> turismo</w:t>
      </w:r>
      <w:r w:rsidRPr="00DB16C1">
        <w:t xml:space="preserve">, </w:t>
      </w:r>
      <w:proofErr w:type="gramStart"/>
      <w:r w:rsidRPr="00DB16C1">
        <w:t>una risorsa ancora poco</w:t>
      </w:r>
      <w:proofErr w:type="gramEnd"/>
      <w:r w:rsidRPr="00DB16C1">
        <w:t xml:space="preserve"> valorizzata, ma con un grande potenziale. La Siria, infatti, ha un grande </w:t>
      </w:r>
      <w:r w:rsidRPr="00DB16C1">
        <w:rPr>
          <w:b/>
          <w:bCs/>
        </w:rPr>
        <w:t>patrimonio storico-archeologico</w:t>
      </w:r>
      <w:r w:rsidRPr="00DB16C1">
        <w:t xml:space="preserve"> e alcuni siti sono stati dichiarati patrimonio dell’umanità dall’Unesco (Aleppo, </w:t>
      </w:r>
      <w:proofErr w:type="spellStart"/>
      <w:r w:rsidRPr="00DB16C1">
        <w:t>Bosra</w:t>
      </w:r>
      <w:proofErr w:type="spellEnd"/>
      <w:r w:rsidRPr="00DB16C1">
        <w:t xml:space="preserve">, Damasco, Krak </w:t>
      </w:r>
      <w:proofErr w:type="spellStart"/>
      <w:r w:rsidRPr="00DB16C1">
        <w:t>des</w:t>
      </w:r>
      <w:proofErr w:type="spellEnd"/>
      <w:r w:rsidRPr="00DB16C1">
        <w:t xml:space="preserve"> </w:t>
      </w:r>
      <w:proofErr w:type="spellStart"/>
      <w:r w:rsidRPr="00DB16C1">
        <w:t>Chevaliers</w:t>
      </w:r>
      <w:proofErr w:type="spellEnd"/>
      <w:r w:rsidRPr="00DB16C1">
        <w:t xml:space="preserve">, </w:t>
      </w:r>
      <w:proofErr w:type="spellStart"/>
      <w:r w:rsidRPr="00DB16C1">
        <w:t>Qal’</w:t>
      </w:r>
      <w:proofErr w:type="gramStart"/>
      <w:r w:rsidRPr="00DB16C1">
        <w:t>at</w:t>
      </w:r>
      <w:proofErr w:type="spellEnd"/>
      <w:proofErr w:type="gramEnd"/>
      <w:r w:rsidRPr="00DB16C1">
        <w:t xml:space="preserve"> </w:t>
      </w:r>
      <w:proofErr w:type="spellStart"/>
      <w:r w:rsidRPr="00DB16C1">
        <w:t>Salah</w:t>
      </w:r>
      <w:proofErr w:type="spellEnd"/>
      <w:r w:rsidRPr="00DB16C1">
        <w:t xml:space="preserve"> </w:t>
      </w:r>
      <w:proofErr w:type="spellStart"/>
      <w:r w:rsidRPr="00DB16C1">
        <w:t>El</w:t>
      </w:r>
      <w:proofErr w:type="spellEnd"/>
      <w:r w:rsidRPr="00DB16C1">
        <w:t xml:space="preserve"> </w:t>
      </w:r>
      <w:proofErr w:type="spellStart"/>
      <w:r w:rsidRPr="00DB16C1">
        <w:t>Din</w:t>
      </w:r>
      <w:proofErr w:type="spellEnd"/>
      <w:r w:rsidRPr="00DB16C1">
        <w:t xml:space="preserve">, Palmira). Benché gli arrivi turistici siano fortemente condizionati dalle situazioni di maggiore o minore tranquillità geopolitica della regione, nel 2008 hanno sfiorato i 5,5 milioni con un incremento di quasi </w:t>
      </w:r>
      <w:proofErr w:type="gramStart"/>
      <w:r w:rsidRPr="00DB16C1">
        <w:t>1</w:t>
      </w:r>
      <w:proofErr w:type="gramEnd"/>
      <w:r w:rsidRPr="00DB16C1">
        <w:t xml:space="preserve"> milione rispetto all’anno precedente producendo un’entrata valutaria di oltre 3 milioni di dollari.</w:t>
      </w:r>
    </w:p>
    <w:p w:rsidR="00DB16C1" w:rsidRDefault="00DB16C1" w:rsidP="00DB16C1"/>
    <w:p w:rsidR="00DB16C1" w:rsidRDefault="00DB16C1" w:rsidP="00DB16C1"/>
    <w:tbl>
      <w:tblPr>
        <w:tblW w:w="0" w:type="auto"/>
        <w:tblInd w:w="113" w:type="dxa"/>
        <w:tblLayout w:type="fixed"/>
        <w:tblCellMar>
          <w:left w:w="0" w:type="dxa"/>
          <w:right w:w="0" w:type="dxa"/>
        </w:tblCellMar>
        <w:tblLook w:val="0000" w:firstRow="0" w:lastRow="0" w:firstColumn="0" w:lastColumn="0" w:noHBand="0" w:noVBand="0"/>
      </w:tblPr>
      <w:tblGrid>
        <w:gridCol w:w="687"/>
        <w:gridCol w:w="4235"/>
      </w:tblGrid>
      <w:tr w:rsidR="00DB16C1">
        <w:tblPrEx>
          <w:tblCellMar>
            <w:top w:w="0" w:type="dxa"/>
            <w:left w:w="0" w:type="dxa"/>
            <w:bottom w:w="0" w:type="dxa"/>
            <w:right w:w="0" w:type="dxa"/>
          </w:tblCellMar>
        </w:tblPrEx>
        <w:trPr>
          <w:trHeight w:val="60"/>
        </w:trPr>
        <w:tc>
          <w:tcPr>
            <w:tcW w:w="4922" w:type="dxa"/>
            <w:gridSpan w:val="2"/>
            <w:tcBorders>
              <w:top w:val="single" w:sz="4" w:space="0" w:color="000000"/>
              <w:left w:val="single" w:sz="4" w:space="0" w:color="000000"/>
              <w:bottom w:val="single" w:sz="4" w:space="0" w:color="000000"/>
              <w:right w:val="nil"/>
            </w:tcBorders>
            <w:shd w:val="solid" w:color="D12229" w:fill="auto"/>
            <w:tcMar>
              <w:top w:w="113" w:type="dxa"/>
              <w:left w:w="113" w:type="dxa"/>
              <w:bottom w:w="113" w:type="dxa"/>
              <w:right w:w="113" w:type="dxa"/>
            </w:tcMar>
          </w:tcPr>
          <w:p w:rsidR="00DB16C1" w:rsidRDefault="00DB16C1">
            <w:pPr>
              <w:pStyle w:val="06boxesercizi"/>
            </w:pPr>
            <w:r>
              <w:rPr>
                <w:rFonts w:ascii="HelveticaNeue-BoldCond" w:hAnsi="HelveticaNeue-BoldCond" w:cs="HelveticaNeue-BoldCond"/>
                <w:b/>
                <w:bCs/>
                <w:caps/>
                <w:color w:val="FFFFFF"/>
                <w:sz w:val="20"/>
                <w:szCs w:val="20"/>
              </w:rPr>
              <w:t xml:space="preserve">Sintetica cronologia del conflitto per l’acqua </w:t>
            </w:r>
            <w:r>
              <w:rPr>
                <w:rFonts w:ascii="HelveticaNeue-BoldCond" w:hAnsi="HelveticaNeue-BoldCond" w:cs="HelveticaNeue-BoldCond"/>
                <w:b/>
                <w:bCs/>
                <w:caps/>
                <w:color w:val="FFFFFF"/>
                <w:sz w:val="20"/>
                <w:szCs w:val="20"/>
              </w:rPr>
              <w:br/>
              <w:t>fra Siria, Turchia, Iraq</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1916</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pacing w:val="-4"/>
                <w:sz w:val="20"/>
                <w:szCs w:val="20"/>
              </w:rPr>
              <w:t xml:space="preserve">Accordo anglo-francese per la spartizione della parte araba dell’impero ottomano e la creazione delle attuali frontiere degli stati </w:t>
            </w:r>
            <w:proofErr w:type="gramStart"/>
            <w:r>
              <w:rPr>
                <w:spacing w:val="-4"/>
                <w:sz w:val="20"/>
                <w:szCs w:val="20"/>
              </w:rPr>
              <w:t>del</w:t>
            </w:r>
            <w:proofErr w:type="gramEnd"/>
            <w:r>
              <w:rPr>
                <w:spacing w:val="-4"/>
                <w:sz w:val="20"/>
                <w:szCs w:val="20"/>
              </w:rPr>
              <w:t xml:space="preserve"> Medio Oriente; una clausola prevede la garanzia di un’equa spartizione delle acque dei fiumi della regione (accordo </w:t>
            </w:r>
            <w:proofErr w:type="spellStart"/>
            <w:r>
              <w:rPr>
                <w:spacing w:val="-4"/>
                <w:sz w:val="20"/>
                <w:szCs w:val="20"/>
              </w:rPr>
              <w:t>Sykes-Picot</w:t>
            </w:r>
            <w:proofErr w:type="spellEnd"/>
            <w:r>
              <w:rPr>
                <w:spacing w:val="-4"/>
                <w:sz w:val="20"/>
                <w:szCs w:val="20"/>
              </w:rPr>
              <w:t>).</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1923-1930</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pacing w:val="-4"/>
                <w:sz w:val="20"/>
                <w:szCs w:val="20"/>
              </w:rPr>
              <w:t>Trattato di Losanna, Convenzione di Ankara, Trattato di Aleppo</w:t>
            </w:r>
            <w:r>
              <w:rPr>
                <w:sz w:val="20"/>
                <w:szCs w:val="20"/>
              </w:rPr>
              <w:t xml:space="preserve">: in ognuno di questi accordi, Francia (in nome della Siria, sotto suo mandato) e Turchia </w:t>
            </w:r>
            <w:proofErr w:type="gramStart"/>
            <w:r>
              <w:rPr>
                <w:sz w:val="20"/>
                <w:szCs w:val="20"/>
              </w:rPr>
              <w:t>affermano</w:t>
            </w:r>
            <w:proofErr w:type="gramEnd"/>
            <w:r>
              <w:rPr>
                <w:sz w:val="20"/>
                <w:szCs w:val="20"/>
              </w:rPr>
              <w:t xml:space="preserve"> la necessità di arrivare a una giusta spartizione delle acque dell’Eufrate.</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1961-1974</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 xml:space="preserve">Tentativi di accordi separati fra Siria e Iraq, Siria e Turchia; durante i negoziati Turchia, Siria, Iraq </w:t>
            </w:r>
            <w:proofErr w:type="gramStart"/>
            <w:r>
              <w:rPr>
                <w:sz w:val="20"/>
                <w:szCs w:val="20"/>
              </w:rPr>
              <w:t>rivendicano</w:t>
            </w:r>
            <w:proofErr w:type="gramEnd"/>
            <w:r>
              <w:rPr>
                <w:sz w:val="20"/>
                <w:szCs w:val="20"/>
              </w:rPr>
              <w:t xml:space="preserve"> rispettivamente 14, 13, 18 miliardi di m³ di acqua dell’Eufrate, una volta e mezzo il deflusso annuo del fiume.</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1973</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 xml:space="preserve">Turchia: costruzione sull’Eufrate della prima diga, quella di </w:t>
            </w:r>
            <w:proofErr w:type="spellStart"/>
            <w:r>
              <w:rPr>
                <w:sz w:val="20"/>
                <w:szCs w:val="20"/>
              </w:rPr>
              <w:t>Keban</w:t>
            </w:r>
            <w:proofErr w:type="spellEnd"/>
            <w:r>
              <w:rPr>
                <w:sz w:val="20"/>
                <w:szCs w:val="20"/>
              </w:rPr>
              <w:t xml:space="preserve">. </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1974</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proofErr w:type="gramStart"/>
            <w:r>
              <w:rPr>
                <w:sz w:val="20"/>
                <w:szCs w:val="20"/>
              </w:rPr>
              <w:t xml:space="preserve">Siria: riempimento della diga di </w:t>
            </w:r>
            <w:proofErr w:type="spellStart"/>
            <w:r>
              <w:rPr>
                <w:sz w:val="20"/>
                <w:szCs w:val="20"/>
              </w:rPr>
              <w:t>Tabqa</w:t>
            </w:r>
            <w:proofErr w:type="spellEnd"/>
            <w:r>
              <w:rPr>
                <w:sz w:val="20"/>
                <w:szCs w:val="20"/>
              </w:rPr>
              <w:t xml:space="preserve"> e creazione del lago Al </w:t>
            </w:r>
            <w:proofErr w:type="spellStart"/>
            <w:r>
              <w:rPr>
                <w:sz w:val="20"/>
                <w:szCs w:val="20"/>
              </w:rPr>
              <w:t>Assad</w:t>
            </w:r>
            <w:proofErr w:type="spellEnd"/>
            <w:r>
              <w:rPr>
                <w:sz w:val="20"/>
                <w:szCs w:val="20"/>
              </w:rPr>
              <w:t>.</w:t>
            </w:r>
            <w:proofErr w:type="gramEnd"/>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1975</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pacing w:val="-4"/>
                <w:sz w:val="20"/>
                <w:szCs w:val="20"/>
              </w:rPr>
              <w:t>La Lega Araba istituisce un comitato tecnico per negoziare la questione dell’acqua fra Siria e Iraq; peggioramento delle relazioni diplomatiche fra i due stati, con rischio di conflitto armato; intervento di mediazione degli Usa e dell’Urss; stipulazione di un accordo segreto: impegno della Siria a cedere all’Iraq il 58% dell’acqua dell’Eufrate che riceve dalla Turchia.</w:t>
            </w:r>
          </w:p>
        </w:tc>
      </w:tr>
      <w:tr w:rsidR="00DB16C1">
        <w:tblPrEx>
          <w:tblCellMar>
            <w:top w:w="0" w:type="dxa"/>
            <w:left w:w="0" w:type="dxa"/>
            <w:bottom w:w="0" w:type="dxa"/>
            <w:right w:w="0" w:type="dxa"/>
          </w:tblCellMar>
        </w:tblPrEx>
        <w:trPr>
          <w:trHeight w:val="60"/>
        </w:trPr>
        <w:tc>
          <w:tcPr>
            <w:tcW w:w="68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2012</w:t>
            </w:r>
          </w:p>
        </w:tc>
        <w:tc>
          <w:tcPr>
            <w:tcW w:w="42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Nessun accordo è stato finora raggiunto.</w:t>
            </w:r>
          </w:p>
        </w:tc>
      </w:tr>
    </w:tbl>
    <w:p w:rsidR="00DB16C1" w:rsidRDefault="00DB16C1" w:rsidP="00DB16C1"/>
    <w:p w:rsidR="00DB16C1" w:rsidRDefault="00DB16C1" w:rsidP="00DB16C1"/>
    <w:tbl>
      <w:tblPr>
        <w:tblW w:w="0" w:type="auto"/>
        <w:tblInd w:w="113" w:type="dxa"/>
        <w:tblLayout w:type="fixed"/>
        <w:tblCellMar>
          <w:left w:w="0" w:type="dxa"/>
          <w:right w:w="0" w:type="dxa"/>
        </w:tblCellMar>
        <w:tblLook w:val="0000" w:firstRow="0" w:lastRow="0" w:firstColumn="0" w:lastColumn="0" w:noHBand="0" w:noVBand="0"/>
      </w:tblPr>
      <w:tblGrid>
        <w:gridCol w:w="2608"/>
        <w:gridCol w:w="623"/>
        <w:gridCol w:w="624"/>
        <w:gridCol w:w="624"/>
      </w:tblGrid>
      <w:tr w:rsidR="00DB16C1">
        <w:tblPrEx>
          <w:tblCellMar>
            <w:top w:w="0" w:type="dxa"/>
            <w:left w:w="0" w:type="dxa"/>
            <w:bottom w:w="0" w:type="dxa"/>
            <w:right w:w="0" w:type="dxa"/>
          </w:tblCellMar>
        </w:tblPrEx>
        <w:trPr>
          <w:trHeight w:val="60"/>
        </w:trPr>
        <w:tc>
          <w:tcPr>
            <w:tcW w:w="4479" w:type="dxa"/>
            <w:gridSpan w:val="4"/>
            <w:tcBorders>
              <w:top w:val="single" w:sz="4" w:space="0" w:color="000000"/>
              <w:left w:val="single" w:sz="4" w:space="0" w:color="000000"/>
              <w:bottom w:val="single" w:sz="4" w:space="0" w:color="000000"/>
              <w:right w:val="nil"/>
            </w:tcBorders>
            <w:shd w:val="solid" w:color="D12229" w:fill="auto"/>
            <w:tcMar>
              <w:top w:w="113" w:type="dxa"/>
              <w:left w:w="113" w:type="dxa"/>
              <w:bottom w:w="113" w:type="dxa"/>
              <w:right w:w="113" w:type="dxa"/>
            </w:tcMar>
          </w:tcPr>
          <w:p w:rsidR="00DB16C1" w:rsidRDefault="00DB16C1">
            <w:pPr>
              <w:pStyle w:val="06boxesercizi"/>
            </w:pPr>
            <w:r>
              <w:rPr>
                <w:rFonts w:ascii="HelveticaNeue-HeavyCond" w:hAnsi="HelveticaNeue-HeavyCond" w:cs="HelveticaNeue-HeavyCond"/>
                <w:caps/>
                <w:color w:val="FFFFFF"/>
              </w:rPr>
              <w:t xml:space="preserve">Tabella </w:t>
            </w:r>
            <w:proofErr w:type="gramStart"/>
            <w:r>
              <w:rPr>
                <w:rFonts w:ascii="HelveticaNeue-HeavyCond" w:hAnsi="HelveticaNeue-HeavyCond" w:cs="HelveticaNeue-HeavyCond"/>
                <w:caps/>
                <w:color w:val="FFFFFF"/>
              </w:rPr>
              <w:t>2</w:t>
            </w:r>
            <w:proofErr w:type="gramEnd"/>
            <w:r>
              <w:rPr>
                <w:rFonts w:ascii="HelveticaNeue-HeavyCond" w:hAnsi="HelveticaNeue-HeavyCond" w:cs="HelveticaNeue-HeavyCond"/>
                <w:caps/>
                <w:color w:val="FFFFFF"/>
              </w:rPr>
              <w:t xml:space="preserve">. </w:t>
            </w:r>
            <w:r>
              <w:rPr>
                <w:rFonts w:ascii="HelveticaNeue-BoldCond" w:hAnsi="HelveticaNeue-BoldCond" w:cs="HelveticaNeue-BoldCond"/>
                <w:b/>
                <w:bCs/>
                <w:caps/>
                <w:color w:val="FFFFFF"/>
              </w:rPr>
              <w:t>Siria: struttura della popolazione per classi di età (1970 – 2012)</w:t>
            </w:r>
          </w:p>
        </w:tc>
      </w:tr>
      <w:tr w:rsidR="00DB16C1">
        <w:tblPrEx>
          <w:tblCellMar>
            <w:top w:w="0" w:type="dxa"/>
            <w:left w:w="0" w:type="dxa"/>
            <w:bottom w:w="0" w:type="dxa"/>
            <w:right w:w="0" w:type="dxa"/>
          </w:tblCellMar>
        </w:tblPrEx>
        <w:trPr>
          <w:trHeight w:val="60"/>
        </w:trPr>
        <w:tc>
          <w:tcPr>
            <w:tcW w:w="2608"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rFonts w:ascii="HelveticaNeue-BoldCond" w:hAnsi="HelveticaNeue-BoldCond" w:cs="HelveticaNeue-BoldCond"/>
                <w:b/>
                <w:bCs/>
                <w:sz w:val="20"/>
                <w:szCs w:val="20"/>
              </w:rPr>
              <w:t xml:space="preserve">Classe di età </w:t>
            </w:r>
            <w:r>
              <w:rPr>
                <w:sz w:val="16"/>
                <w:szCs w:val="16"/>
              </w:rPr>
              <w:t>(valori %)</w:t>
            </w:r>
          </w:p>
        </w:tc>
        <w:tc>
          <w:tcPr>
            <w:tcW w:w="623"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t>1970</w:t>
            </w:r>
          </w:p>
        </w:tc>
        <w:tc>
          <w:tcPr>
            <w:tcW w:w="624"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t>1980</w:t>
            </w:r>
          </w:p>
        </w:tc>
        <w:tc>
          <w:tcPr>
            <w:tcW w:w="624"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t>2012</w:t>
            </w:r>
          </w:p>
        </w:tc>
      </w:tr>
      <w:tr w:rsidR="00DB16C1">
        <w:tblPrEx>
          <w:tblCellMar>
            <w:top w:w="0" w:type="dxa"/>
            <w:left w:w="0" w:type="dxa"/>
            <w:bottom w:w="0" w:type="dxa"/>
            <w:right w:w="0" w:type="dxa"/>
          </w:tblCellMar>
        </w:tblPrEx>
        <w:trPr>
          <w:trHeight w:val="60"/>
        </w:trPr>
        <w:tc>
          <w:tcPr>
            <w:tcW w:w="2608"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sz w:val="20"/>
                <w:szCs w:val="20"/>
              </w:rPr>
              <w:t>0 – 14</w:t>
            </w:r>
          </w:p>
        </w:tc>
        <w:tc>
          <w:tcPr>
            <w:tcW w:w="62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48,9</w:t>
            </w:r>
          </w:p>
        </w:tc>
        <w:tc>
          <w:tcPr>
            <w:tcW w:w="62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48,5</w:t>
            </w:r>
          </w:p>
        </w:tc>
        <w:tc>
          <w:tcPr>
            <w:tcW w:w="62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33</w:t>
            </w:r>
          </w:p>
        </w:tc>
      </w:tr>
      <w:tr w:rsidR="00DB16C1">
        <w:tblPrEx>
          <w:tblCellMar>
            <w:top w:w="0" w:type="dxa"/>
            <w:left w:w="0" w:type="dxa"/>
            <w:bottom w:w="0" w:type="dxa"/>
            <w:right w:w="0" w:type="dxa"/>
          </w:tblCellMar>
        </w:tblPrEx>
        <w:trPr>
          <w:trHeight w:val="60"/>
        </w:trPr>
        <w:tc>
          <w:tcPr>
            <w:tcW w:w="2608"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t>15 – 64</w:t>
            </w:r>
          </w:p>
        </w:tc>
        <w:tc>
          <w:tcPr>
            <w:tcW w:w="62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45,7</w:t>
            </w:r>
          </w:p>
        </w:tc>
        <w:tc>
          <w:tcPr>
            <w:tcW w:w="62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48,3</w:t>
            </w:r>
          </w:p>
        </w:tc>
        <w:tc>
          <w:tcPr>
            <w:tcW w:w="62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62</w:t>
            </w:r>
          </w:p>
        </w:tc>
      </w:tr>
      <w:tr w:rsidR="00DB16C1">
        <w:tblPrEx>
          <w:tblCellMar>
            <w:top w:w="0" w:type="dxa"/>
            <w:left w:w="0" w:type="dxa"/>
            <w:bottom w:w="0" w:type="dxa"/>
            <w:right w:w="0" w:type="dxa"/>
          </w:tblCellMar>
        </w:tblPrEx>
        <w:trPr>
          <w:trHeight w:val="60"/>
        </w:trPr>
        <w:tc>
          <w:tcPr>
            <w:tcW w:w="2608"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t>65 e oltre</w:t>
            </w:r>
          </w:p>
        </w:tc>
        <w:tc>
          <w:tcPr>
            <w:tcW w:w="62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4,4</w:t>
            </w:r>
          </w:p>
        </w:tc>
        <w:tc>
          <w:tcPr>
            <w:tcW w:w="62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3,2</w:t>
            </w:r>
          </w:p>
        </w:tc>
        <w:tc>
          <w:tcPr>
            <w:tcW w:w="62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rPr>
                <w:sz w:val="20"/>
                <w:szCs w:val="20"/>
              </w:rPr>
              <w:t>5</w:t>
            </w:r>
          </w:p>
        </w:tc>
      </w:tr>
    </w:tbl>
    <w:p w:rsidR="00DB16C1" w:rsidRDefault="00DB16C1" w:rsidP="00DB16C1"/>
    <w:tbl>
      <w:tblPr>
        <w:tblW w:w="0" w:type="auto"/>
        <w:tblInd w:w="113" w:type="dxa"/>
        <w:tblLayout w:type="fixed"/>
        <w:tblCellMar>
          <w:left w:w="0" w:type="dxa"/>
          <w:right w:w="0" w:type="dxa"/>
        </w:tblCellMar>
        <w:tblLook w:val="0000" w:firstRow="0" w:lastRow="0" w:firstColumn="0" w:lastColumn="0" w:noHBand="0" w:noVBand="0"/>
      </w:tblPr>
      <w:tblGrid>
        <w:gridCol w:w="1901"/>
        <w:gridCol w:w="863"/>
        <w:gridCol w:w="864"/>
        <w:gridCol w:w="1901"/>
        <w:gridCol w:w="864"/>
        <w:gridCol w:w="864"/>
      </w:tblGrid>
      <w:tr w:rsidR="00DB16C1">
        <w:tblPrEx>
          <w:tblCellMar>
            <w:top w:w="0" w:type="dxa"/>
            <w:left w:w="0" w:type="dxa"/>
            <w:bottom w:w="0" w:type="dxa"/>
            <w:right w:w="0" w:type="dxa"/>
          </w:tblCellMar>
        </w:tblPrEx>
        <w:trPr>
          <w:trHeight w:val="60"/>
        </w:trPr>
        <w:tc>
          <w:tcPr>
            <w:tcW w:w="7257" w:type="dxa"/>
            <w:gridSpan w:val="6"/>
            <w:tcBorders>
              <w:top w:val="single" w:sz="4" w:space="0" w:color="000000"/>
              <w:left w:val="single" w:sz="4" w:space="0" w:color="000000"/>
              <w:bottom w:val="single" w:sz="4" w:space="0" w:color="000000"/>
              <w:right w:val="nil"/>
            </w:tcBorders>
            <w:shd w:val="solid" w:color="D12229" w:fill="auto"/>
            <w:tcMar>
              <w:top w:w="113" w:type="dxa"/>
              <w:left w:w="113" w:type="dxa"/>
              <w:bottom w:w="113" w:type="dxa"/>
              <w:right w:w="113" w:type="dxa"/>
            </w:tcMar>
          </w:tcPr>
          <w:p w:rsidR="00DB16C1" w:rsidRDefault="00DB16C1">
            <w:pPr>
              <w:pStyle w:val="06boxesercizi"/>
            </w:pPr>
            <w:r>
              <w:rPr>
                <w:rFonts w:ascii="HelveticaNeue-HeavyCond" w:hAnsi="HelveticaNeue-HeavyCond" w:cs="HelveticaNeue-HeavyCond"/>
                <w:caps/>
                <w:color w:val="FFFFFF"/>
              </w:rPr>
              <w:t xml:space="preserve">tabella </w:t>
            </w:r>
            <w:proofErr w:type="gramStart"/>
            <w:r>
              <w:rPr>
                <w:rFonts w:ascii="HelveticaNeue-HeavyCond" w:hAnsi="HelveticaNeue-HeavyCond" w:cs="HelveticaNeue-HeavyCond"/>
                <w:caps/>
                <w:color w:val="FFFFFF"/>
              </w:rPr>
              <w:t>3</w:t>
            </w:r>
            <w:proofErr w:type="gramEnd"/>
            <w:r>
              <w:rPr>
                <w:rFonts w:ascii="HelveticaNeue-HeavyCond" w:hAnsi="HelveticaNeue-HeavyCond" w:cs="HelveticaNeue-HeavyCond"/>
                <w:caps/>
                <w:color w:val="FFFFFF"/>
              </w:rPr>
              <w:t>.</w:t>
            </w:r>
            <w:r>
              <w:rPr>
                <w:rFonts w:ascii="HelveticaNeue-BoldCond" w:hAnsi="HelveticaNeue-BoldCond" w:cs="HelveticaNeue-BoldCond"/>
                <w:b/>
                <w:bCs/>
                <w:caps/>
                <w:color w:val="FFFFFF"/>
              </w:rPr>
              <w:t xml:space="preserve"> Siria: composizione del PIL e distribuzione delle forze di lavoro (1970-2011)</w:t>
            </w:r>
          </w:p>
        </w:tc>
      </w:tr>
      <w:tr w:rsidR="00DB16C1">
        <w:tblPrEx>
          <w:tblCellMar>
            <w:top w:w="0" w:type="dxa"/>
            <w:left w:w="0" w:type="dxa"/>
            <w:bottom w:w="0" w:type="dxa"/>
            <w:right w:w="0" w:type="dxa"/>
          </w:tblCellMar>
        </w:tblPrEx>
        <w:trPr>
          <w:trHeight w:val="370"/>
        </w:trPr>
        <w:tc>
          <w:tcPr>
            <w:tcW w:w="3628" w:type="dxa"/>
            <w:gridSpan w:val="3"/>
            <w:tcBorders>
              <w:top w:val="single" w:sz="4" w:space="0" w:color="000000"/>
              <w:left w:val="single" w:sz="4" w:space="0" w:color="000000"/>
              <w:bottom w:val="single" w:sz="4" w:space="0" w:color="000000"/>
              <w:right w:val="nil"/>
            </w:tcBorders>
            <w:shd w:val="solid" w:color="FFFFFF" w:fill="auto"/>
            <w:tcMar>
              <w:top w:w="113" w:type="dxa"/>
              <w:left w:w="113" w:type="dxa"/>
              <w:bottom w:w="113" w:type="dxa"/>
              <w:right w:w="113" w:type="dxa"/>
            </w:tcMar>
          </w:tcPr>
          <w:p w:rsidR="00DB16C1" w:rsidRDefault="00DB16C1">
            <w:pPr>
              <w:pStyle w:val="06boxesercizi"/>
            </w:pPr>
            <w:r>
              <w:t>PIL</w:t>
            </w:r>
          </w:p>
        </w:tc>
        <w:tc>
          <w:tcPr>
            <w:tcW w:w="3629" w:type="dxa"/>
            <w:gridSpan w:val="3"/>
            <w:tcBorders>
              <w:top w:val="single" w:sz="4" w:space="0" w:color="000000"/>
              <w:left w:val="single" w:sz="4" w:space="0" w:color="000000"/>
              <w:bottom w:val="single" w:sz="4" w:space="0" w:color="000000"/>
              <w:right w:val="nil"/>
            </w:tcBorders>
            <w:shd w:val="solid" w:color="FFFFFF" w:fill="auto"/>
            <w:tcMar>
              <w:top w:w="113" w:type="dxa"/>
              <w:left w:w="113" w:type="dxa"/>
              <w:bottom w:w="113" w:type="dxa"/>
              <w:right w:w="113" w:type="dxa"/>
            </w:tcMar>
          </w:tcPr>
          <w:p w:rsidR="00DB16C1" w:rsidRDefault="00DB16C1">
            <w:pPr>
              <w:pStyle w:val="06boxesercizi"/>
            </w:pPr>
            <w:r>
              <w:t>Forze di lavoro</w:t>
            </w:r>
          </w:p>
        </w:tc>
      </w:tr>
      <w:tr w:rsidR="00DB16C1">
        <w:tblPrEx>
          <w:tblCellMar>
            <w:top w:w="0" w:type="dxa"/>
            <w:left w:w="0" w:type="dxa"/>
            <w:bottom w:w="0" w:type="dxa"/>
            <w:right w:w="0" w:type="dxa"/>
          </w:tblCellMar>
        </w:tblPrEx>
        <w:trPr>
          <w:trHeight w:val="60"/>
        </w:trPr>
        <w:tc>
          <w:tcPr>
            <w:tcW w:w="1901"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NoParagraphStyle"/>
              <w:spacing w:line="240" w:lineRule="auto"/>
              <w:textAlignment w:val="auto"/>
              <w:rPr>
                <w:color w:val="auto"/>
              </w:rPr>
            </w:pPr>
          </w:p>
        </w:tc>
        <w:tc>
          <w:tcPr>
            <w:tcW w:w="863"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sz w:val="20"/>
                <w:szCs w:val="20"/>
              </w:rPr>
              <w:t>1970</w:t>
            </w:r>
          </w:p>
        </w:tc>
        <w:tc>
          <w:tcPr>
            <w:tcW w:w="864"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sz w:val="20"/>
                <w:szCs w:val="20"/>
              </w:rPr>
              <w:t>2011</w:t>
            </w:r>
          </w:p>
        </w:tc>
        <w:tc>
          <w:tcPr>
            <w:tcW w:w="1901"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NoParagraphStyle"/>
              <w:spacing w:line="240" w:lineRule="auto"/>
              <w:textAlignment w:val="auto"/>
              <w:rPr>
                <w:color w:val="auto"/>
              </w:rPr>
            </w:pPr>
          </w:p>
        </w:tc>
        <w:tc>
          <w:tcPr>
            <w:tcW w:w="864"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sz w:val="20"/>
                <w:szCs w:val="20"/>
              </w:rPr>
              <w:t>1970</w:t>
            </w:r>
          </w:p>
        </w:tc>
        <w:tc>
          <w:tcPr>
            <w:tcW w:w="864"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sz w:val="20"/>
                <w:szCs w:val="20"/>
              </w:rPr>
              <w:t>2008*</w:t>
            </w:r>
          </w:p>
        </w:tc>
      </w:tr>
      <w:tr w:rsidR="00DB16C1">
        <w:tblPrEx>
          <w:tblCellMar>
            <w:top w:w="0" w:type="dxa"/>
            <w:left w:w="0" w:type="dxa"/>
            <w:bottom w:w="0" w:type="dxa"/>
            <w:right w:w="0" w:type="dxa"/>
          </w:tblCellMar>
        </w:tblPrEx>
        <w:trPr>
          <w:trHeight w:val="60"/>
        </w:trPr>
        <w:tc>
          <w:tcPr>
            <w:tcW w:w="1901"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sz w:val="20"/>
                <w:szCs w:val="20"/>
              </w:rPr>
              <w:t>Agricoltura</w:t>
            </w:r>
          </w:p>
        </w:tc>
        <w:tc>
          <w:tcPr>
            <w:tcW w:w="86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20,3 %</w:t>
            </w:r>
          </w:p>
        </w:tc>
        <w:tc>
          <w:tcPr>
            <w:tcW w:w="86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21 %</w:t>
            </w:r>
          </w:p>
        </w:tc>
        <w:tc>
          <w:tcPr>
            <w:tcW w:w="1901"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t>Agricoltura</w:t>
            </w:r>
          </w:p>
        </w:tc>
        <w:tc>
          <w:tcPr>
            <w:tcW w:w="86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50,2 %</w:t>
            </w:r>
          </w:p>
        </w:tc>
        <w:tc>
          <w:tcPr>
            <w:tcW w:w="86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17 %</w:t>
            </w:r>
          </w:p>
        </w:tc>
      </w:tr>
      <w:tr w:rsidR="00DB16C1">
        <w:tblPrEx>
          <w:tblCellMar>
            <w:top w:w="0" w:type="dxa"/>
            <w:left w:w="0" w:type="dxa"/>
            <w:bottom w:w="0" w:type="dxa"/>
            <w:right w:w="0" w:type="dxa"/>
          </w:tblCellMar>
        </w:tblPrEx>
        <w:trPr>
          <w:trHeight w:val="60"/>
        </w:trPr>
        <w:tc>
          <w:tcPr>
            <w:tcW w:w="1901"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rPr>
                <w:sz w:val="20"/>
                <w:szCs w:val="20"/>
              </w:rPr>
              <w:t>Industria</w:t>
            </w:r>
          </w:p>
        </w:tc>
        <w:tc>
          <w:tcPr>
            <w:tcW w:w="86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25 %</w:t>
            </w:r>
          </w:p>
        </w:tc>
        <w:tc>
          <w:tcPr>
            <w:tcW w:w="86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34 %</w:t>
            </w:r>
          </w:p>
        </w:tc>
        <w:tc>
          <w:tcPr>
            <w:tcW w:w="1901" w:type="dxa"/>
            <w:tcBorders>
              <w:top w:val="single" w:sz="4" w:space="0" w:color="000000"/>
              <w:left w:val="single" w:sz="4" w:space="0" w:color="000000"/>
              <w:bottom w:val="single" w:sz="4" w:space="0" w:color="000000"/>
              <w:right w:val="single" w:sz="4" w:space="0" w:color="000000"/>
            </w:tcBorders>
            <w:shd w:val="solid" w:color="FFFFFF" w:fill="auto"/>
            <w:tcMar>
              <w:top w:w="113" w:type="dxa"/>
              <w:left w:w="113" w:type="dxa"/>
              <w:bottom w:w="113" w:type="dxa"/>
              <w:right w:w="113" w:type="dxa"/>
            </w:tcMar>
          </w:tcPr>
          <w:p w:rsidR="00DB16C1" w:rsidRDefault="00DB16C1">
            <w:pPr>
              <w:pStyle w:val="06boxesercizi"/>
            </w:pPr>
            <w:r>
              <w:t>Industria</w:t>
            </w:r>
          </w:p>
        </w:tc>
        <w:tc>
          <w:tcPr>
            <w:tcW w:w="86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20,6 %</w:t>
            </w:r>
          </w:p>
        </w:tc>
        <w:tc>
          <w:tcPr>
            <w:tcW w:w="86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DB16C1" w:rsidRDefault="00DB16C1">
            <w:pPr>
              <w:pStyle w:val="06boxesercizi"/>
            </w:pPr>
            <w:r>
              <w:t>16 %</w:t>
            </w:r>
          </w:p>
        </w:tc>
      </w:tr>
    </w:tbl>
    <w:p w:rsidR="00DB16C1" w:rsidRDefault="00DB16C1" w:rsidP="00DB16C1"/>
    <w:p w:rsidR="00DB16C1" w:rsidRDefault="00DB16C1" w:rsidP="00DB16C1"/>
    <w:p w:rsidR="00DB16C1" w:rsidRDefault="00DB16C1" w:rsidP="00DB16C1">
      <w:pPr>
        <w:rPr>
          <w:b/>
          <w:bCs/>
        </w:rPr>
      </w:pPr>
    </w:p>
    <w:p w:rsidR="00DB16C1" w:rsidRDefault="00DB16C1" w:rsidP="00DB16C1">
      <w:pPr>
        <w:rPr>
          <w:b/>
          <w:bCs/>
        </w:rPr>
      </w:pPr>
    </w:p>
    <w:p w:rsidR="00DB16C1" w:rsidRDefault="00DB16C1" w:rsidP="00DB16C1">
      <w:pPr>
        <w:rPr>
          <w:b/>
          <w:bCs/>
        </w:rPr>
      </w:pPr>
    </w:p>
    <w:p w:rsidR="00DB16C1" w:rsidRPr="00DB16C1" w:rsidRDefault="00DB16C1" w:rsidP="00DB16C1">
      <w:pPr>
        <w:rPr>
          <w:b/>
          <w:bCs/>
        </w:rPr>
      </w:pPr>
      <w:r w:rsidRPr="00DB16C1">
        <w:rPr>
          <w:b/>
          <w:bCs/>
        </w:rPr>
        <w:t>FONTI</w:t>
      </w:r>
    </w:p>
    <w:p w:rsidR="00DB16C1" w:rsidRPr="00DB16C1" w:rsidRDefault="00DB16C1" w:rsidP="00DB16C1">
      <w:r>
        <w:t>- Atlante geografico e</w:t>
      </w:r>
      <w:r w:rsidRPr="00DB16C1">
        <w:t>conomico, Istituto Geografico De Agostini – Il Sole 24 Ore</w:t>
      </w:r>
    </w:p>
    <w:p w:rsidR="00DB16C1" w:rsidRPr="00DB16C1" w:rsidRDefault="00DB16C1" w:rsidP="00DB16C1">
      <w:pPr>
        <w:rPr>
          <w:lang w:val="fr-FR"/>
        </w:rPr>
      </w:pPr>
      <w:r>
        <w:t xml:space="preserve">- </w:t>
      </w:r>
      <w:proofErr w:type="spellStart"/>
      <w:r w:rsidRPr="00DB16C1">
        <w:rPr>
          <w:lang w:val="fr-FR"/>
        </w:rPr>
        <w:t>Balanche</w:t>
      </w:r>
      <w:proofErr w:type="spellEnd"/>
      <w:r w:rsidRPr="00DB16C1">
        <w:rPr>
          <w:lang w:val="fr-FR"/>
        </w:rPr>
        <w:t xml:space="preserve"> Fabrice, Atlas du Proche-Orient arabe, Paris, RFI, 2012</w:t>
      </w:r>
    </w:p>
    <w:p w:rsidR="00DB16C1" w:rsidRPr="00DB16C1" w:rsidRDefault="00DB16C1" w:rsidP="00DB16C1">
      <w:pPr>
        <w:rPr>
          <w:lang w:val="en-US"/>
        </w:rPr>
      </w:pPr>
      <w:r>
        <w:t xml:space="preserve">- </w:t>
      </w:r>
      <w:r w:rsidRPr="00DB16C1">
        <w:rPr>
          <w:lang w:val="en-US"/>
        </w:rPr>
        <w:t xml:space="preserve">Cia, The World </w:t>
      </w:r>
      <w:proofErr w:type="spellStart"/>
      <w:r w:rsidRPr="00DB16C1">
        <w:rPr>
          <w:lang w:val="en-US"/>
        </w:rPr>
        <w:t>Factbook</w:t>
      </w:r>
      <w:proofErr w:type="spellEnd"/>
      <w:r w:rsidRPr="00DB16C1">
        <w:rPr>
          <w:lang w:val="en-US"/>
        </w:rPr>
        <w:t xml:space="preserve"> 2012</w:t>
      </w:r>
    </w:p>
    <w:p w:rsidR="00DB16C1" w:rsidRPr="00DB16C1" w:rsidRDefault="00DB16C1" w:rsidP="00DB16C1">
      <w:pPr>
        <w:rPr>
          <w:rFonts w:hint="eastAsia"/>
        </w:rPr>
      </w:pPr>
      <w:r>
        <w:t xml:space="preserve">- </w:t>
      </w:r>
      <w:r w:rsidRPr="00DB16C1">
        <w:t>Il nuovissimo Atlante enciclopedico Economico Finanziario Politico, Milano Finanza, Istituto Geografico De Agostini</w:t>
      </w:r>
    </w:p>
    <w:p w:rsidR="00DB16C1" w:rsidRPr="00DB16C1" w:rsidRDefault="00DB16C1" w:rsidP="00DB16C1">
      <w:pPr>
        <w:rPr>
          <w:lang w:val="en-US"/>
        </w:rPr>
      </w:pPr>
      <w:r>
        <w:t xml:space="preserve">- </w:t>
      </w:r>
      <w:r>
        <w:rPr>
          <w:lang w:val="en-US"/>
        </w:rPr>
        <w:t xml:space="preserve">Population Reference Bureau, World population </w:t>
      </w:r>
      <w:r w:rsidRPr="00DB16C1">
        <w:rPr>
          <w:lang w:val="en-US"/>
        </w:rPr>
        <w:t>data sheet 2011</w:t>
      </w:r>
    </w:p>
    <w:p w:rsidR="00DB16C1" w:rsidRPr="00DB16C1" w:rsidRDefault="00DB16C1" w:rsidP="00DB16C1">
      <w:pPr>
        <w:rPr>
          <w:lang w:val="en-GB"/>
        </w:rPr>
      </w:pPr>
      <w:r>
        <w:t xml:space="preserve">- </w:t>
      </w:r>
      <w:r w:rsidRPr="00DB16C1">
        <w:rPr>
          <w:lang w:val="en-GB"/>
        </w:rPr>
        <w:t>UN</w:t>
      </w:r>
      <w:proofErr w:type="gramStart"/>
      <w:r w:rsidRPr="00DB16C1">
        <w:rPr>
          <w:lang w:val="en-GB"/>
        </w:rPr>
        <w:t xml:space="preserve">, </w:t>
      </w:r>
      <w:proofErr w:type="gramEnd"/>
      <w:r w:rsidRPr="00DB16C1">
        <w:rPr>
          <w:lang w:val="en-GB"/>
        </w:rPr>
        <w:t>Economic &amp; Social Affairs, World Population to 2300</w:t>
      </w:r>
    </w:p>
    <w:p w:rsidR="00DB16C1" w:rsidRPr="00DB16C1" w:rsidRDefault="00DB16C1" w:rsidP="00DB16C1">
      <w:pPr>
        <w:rPr>
          <w:lang w:val="en-GB"/>
        </w:rPr>
      </w:pPr>
      <w:r>
        <w:t xml:space="preserve">- </w:t>
      </w:r>
      <w:r w:rsidRPr="00DB16C1">
        <w:rPr>
          <w:lang w:val="en-GB"/>
        </w:rPr>
        <w:t>UN</w:t>
      </w:r>
      <w:proofErr w:type="gramStart"/>
      <w:r w:rsidRPr="00DB16C1">
        <w:rPr>
          <w:lang w:val="en-GB"/>
        </w:rPr>
        <w:t xml:space="preserve">, </w:t>
      </w:r>
      <w:proofErr w:type="gramEnd"/>
      <w:r w:rsidRPr="00DB16C1">
        <w:rPr>
          <w:lang w:val="en-GB"/>
        </w:rPr>
        <w:t>Economic &amp; Social Affairs, Statistical Yearbook 2009</w:t>
      </w:r>
    </w:p>
    <w:p w:rsidR="00DB16C1" w:rsidRPr="00DB16C1" w:rsidRDefault="00DB16C1" w:rsidP="00DB16C1">
      <w:pPr>
        <w:rPr>
          <w:lang w:val="fr-FR"/>
        </w:rPr>
      </w:pPr>
      <w:r>
        <w:t xml:space="preserve">- </w:t>
      </w:r>
      <w:r w:rsidRPr="00DB16C1">
        <w:rPr>
          <w:lang w:val="fr-FR"/>
        </w:rPr>
        <w:t xml:space="preserve">UNDP, Rapport sur le développement humain (2011 e </w:t>
      </w:r>
      <w:proofErr w:type="spellStart"/>
      <w:r w:rsidRPr="00DB16C1">
        <w:rPr>
          <w:lang w:val="fr-FR"/>
        </w:rPr>
        <w:t>anni</w:t>
      </w:r>
      <w:proofErr w:type="spellEnd"/>
      <w:r w:rsidRPr="00DB16C1">
        <w:rPr>
          <w:lang w:val="fr-FR"/>
        </w:rPr>
        <w:t xml:space="preserve"> </w:t>
      </w:r>
      <w:proofErr w:type="spellStart"/>
      <w:r w:rsidRPr="00DB16C1">
        <w:rPr>
          <w:lang w:val="fr-FR"/>
        </w:rPr>
        <w:t>precedenti</w:t>
      </w:r>
      <w:proofErr w:type="spellEnd"/>
      <w:r w:rsidRPr="00DB16C1">
        <w:rPr>
          <w:lang w:val="fr-FR"/>
        </w:rPr>
        <w:t>)</w:t>
      </w:r>
    </w:p>
    <w:p w:rsidR="00DB16C1" w:rsidRPr="00DB16C1" w:rsidRDefault="00DB16C1" w:rsidP="00DB16C1">
      <w:pPr>
        <w:rPr>
          <w:lang w:val="fr-FR"/>
        </w:rPr>
      </w:pPr>
      <w:r>
        <w:t xml:space="preserve">- </w:t>
      </w:r>
      <w:r w:rsidRPr="00DB16C1">
        <w:rPr>
          <w:lang w:val="fr-FR"/>
        </w:rPr>
        <w:t>UNDP, Rapport ara</w:t>
      </w:r>
      <w:r>
        <w:rPr>
          <w:lang w:val="fr-FR"/>
        </w:rPr>
        <w:t xml:space="preserve">be sur le Développement humain </w:t>
      </w:r>
      <w:r w:rsidRPr="00DB16C1">
        <w:rPr>
          <w:lang w:val="fr-FR"/>
        </w:rPr>
        <w:t xml:space="preserve">(2009 </w:t>
      </w:r>
      <w:proofErr w:type="spellStart"/>
      <w:proofErr w:type="gramStart"/>
      <w:r w:rsidRPr="00DB16C1">
        <w:rPr>
          <w:lang w:val="fr-FR"/>
        </w:rPr>
        <w:t>ed</w:t>
      </w:r>
      <w:proofErr w:type="spellEnd"/>
      <w:proofErr w:type="gramEnd"/>
      <w:r w:rsidRPr="00DB16C1">
        <w:rPr>
          <w:lang w:val="fr-FR"/>
        </w:rPr>
        <w:t xml:space="preserve"> </w:t>
      </w:r>
      <w:proofErr w:type="spellStart"/>
      <w:r w:rsidRPr="00DB16C1">
        <w:rPr>
          <w:lang w:val="fr-FR"/>
        </w:rPr>
        <w:t>edizioni</w:t>
      </w:r>
      <w:proofErr w:type="spellEnd"/>
      <w:r w:rsidRPr="00DB16C1">
        <w:rPr>
          <w:lang w:val="fr-FR"/>
        </w:rPr>
        <w:t xml:space="preserve"> </w:t>
      </w:r>
      <w:proofErr w:type="spellStart"/>
      <w:r w:rsidRPr="00DB16C1">
        <w:rPr>
          <w:lang w:val="fr-FR"/>
        </w:rPr>
        <w:t>precedenti</w:t>
      </w:r>
      <w:proofErr w:type="spellEnd"/>
      <w:r w:rsidRPr="00DB16C1">
        <w:rPr>
          <w:lang w:val="fr-FR"/>
        </w:rPr>
        <w:t>)</w:t>
      </w:r>
    </w:p>
    <w:p w:rsidR="00DB16C1" w:rsidRPr="00DB16C1" w:rsidRDefault="00DB16C1" w:rsidP="00DB16C1">
      <w:pPr>
        <w:rPr>
          <w:lang w:val="fr-FR"/>
        </w:rPr>
      </w:pPr>
      <w:r>
        <w:t xml:space="preserve">- </w:t>
      </w:r>
      <w:r w:rsidRPr="00DB16C1">
        <w:rPr>
          <w:lang w:val="fr-FR"/>
        </w:rPr>
        <w:t>UNFPA, État de la population mondiale 2010</w:t>
      </w:r>
    </w:p>
    <w:p w:rsidR="00DB16C1" w:rsidRPr="00DB16C1" w:rsidRDefault="00DB16C1" w:rsidP="00DB16C1">
      <w:pPr>
        <w:rPr>
          <w:lang w:val="en-GB"/>
        </w:rPr>
      </w:pPr>
      <w:r>
        <w:t xml:space="preserve">- </w:t>
      </w:r>
      <w:r w:rsidRPr="00DB16C1">
        <w:rPr>
          <w:lang w:val="en-GB"/>
        </w:rPr>
        <w:t xml:space="preserve">UNFPA, Country Profiles for Population and Reproductive Health – Policy Developments </w:t>
      </w:r>
      <w:proofErr w:type="gramStart"/>
      <w:r w:rsidRPr="00DB16C1">
        <w:rPr>
          <w:lang w:val="en-GB"/>
        </w:rPr>
        <w:t>and</w:t>
      </w:r>
      <w:proofErr w:type="gramEnd"/>
      <w:r w:rsidRPr="00DB16C1">
        <w:rPr>
          <w:lang w:val="en-GB"/>
        </w:rPr>
        <w:t xml:space="preserve"> Indicators 2003</w:t>
      </w:r>
    </w:p>
    <w:p w:rsidR="00DB16C1" w:rsidRPr="00DB16C1" w:rsidRDefault="00DB16C1" w:rsidP="00DB16C1">
      <w:pPr>
        <w:rPr>
          <w:lang w:val="fr-FR"/>
        </w:rPr>
      </w:pPr>
      <w:r>
        <w:t xml:space="preserve">- </w:t>
      </w:r>
      <w:r w:rsidRPr="00DB16C1">
        <w:rPr>
          <w:lang w:val="fr-FR"/>
        </w:rPr>
        <w:t>UNICEF, La situation des enfants dans le monde 2009</w:t>
      </w:r>
    </w:p>
    <w:p w:rsidR="00DB16C1" w:rsidRPr="00DB16C1" w:rsidRDefault="00DB16C1" w:rsidP="00DB16C1">
      <w:pPr>
        <w:rPr>
          <w:lang w:val="en-US"/>
        </w:rPr>
      </w:pPr>
      <w:r>
        <w:t xml:space="preserve">- </w:t>
      </w:r>
      <w:proofErr w:type="spellStart"/>
      <w:r w:rsidRPr="00DB16C1">
        <w:rPr>
          <w:lang w:val="en-US"/>
        </w:rPr>
        <w:t>Université</w:t>
      </w:r>
      <w:proofErr w:type="spellEnd"/>
      <w:r w:rsidRPr="00DB16C1">
        <w:rPr>
          <w:lang w:val="en-US"/>
        </w:rPr>
        <w:t xml:space="preserve"> de </w:t>
      </w:r>
      <w:proofErr w:type="spellStart"/>
      <w:r w:rsidRPr="00DB16C1">
        <w:rPr>
          <w:lang w:val="en-US"/>
        </w:rPr>
        <w:t>Sherbrooke</w:t>
      </w:r>
      <w:proofErr w:type="spellEnd"/>
      <w:r w:rsidRPr="00DB16C1">
        <w:rPr>
          <w:lang w:val="en-US"/>
        </w:rPr>
        <w:t>, Perspective Monde</w:t>
      </w:r>
    </w:p>
    <w:p w:rsidR="00DB16C1" w:rsidRPr="00DB16C1" w:rsidRDefault="00DB16C1" w:rsidP="00DB16C1">
      <w:pPr>
        <w:rPr>
          <w:lang w:val="en-US"/>
        </w:rPr>
      </w:pPr>
      <w:r>
        <w:t xml:space="preserve">- </w:t>
      </w:r>
      <w:r w:rsidRPr="00DB16C1">
        <w:rPr>
          <w:lang w:val="en-US"/>
        </w:rPr>
        <w:t>World Bank, The Little Data Book 2011</w:t>
      </w:r>
    </w:p>
    <w:p w:rsidR="00DB16C1" w:rsidRPr="00DB16C1" w:rsidRDefault="00DB16C1" w:rsidP="00DB16C1">
      <w:pPr>
        <w:rPr>
          <w:lang w:val="en-US"/>
        </w:rPr>
      </w:pPr>
      <w:r>
        <w:t xml:space="preserve">- </w:t>
      </w:r>
      <w:r w:rsidRPr="00DB16C1">
        <w:rPr>
          <w:lang w:val="en-US"/>
        </w:rPr>
        <w:t>World Bank, Syria: Country Brief 2012</w:t>
      </w:r>
      <w:bookmarkStart w:id="0" w:name="_GoBack"/>
      <w:bookmarkEnd w:id="0"/>
    </w:p>
    <w:p w:rsidR="00DB16C1" w:rsidRDefault="00DB16C1" w:rsidP="00DB16C1">
      <w:r w:rsidRPr="00DB16C1">
        <w:rPr>
          <w:u w:val="thick"/>
          <w:lang w:val="en-GB"/>
        </w:rPr>
        <w:fldChar w:fldCharType="begin"/>
      </w:r>
      <w:r w:rsidRPr="00DB16C1">
        <w:rPr>
          <w:u w:val="thick"/>
          <w:lang w:val="en-GB"/>
        </w:rPr>
        <w:instrText>HYPERLINK  "http://www.asianews.it/"</w:instrText>
      </w:r>
      <w:r w:rsidRPr="00DB16C1">
        <w:rPr>
          <w:u w:val="thick"/>
          <w:lang w:val="en-GB"/>
        </w:rPr>
      </w:r>
      <w:r w:rsidRPr="00DB16C1">
        <w:rPr>
          <w:u w:val="thick"/>
          <w:lang w:val="en-GB"/>
        </w:rPr>
        <w:fldChar w:fldCharType="separate"/>
      </w:r>
      <w:r w:rsidRPr="00DB16C1">
        <w:rPr>
          <w:rStyle w:val="Collegamentoipertestuale"/>
          <w:lang w:val="en-GB"/>
        </w:rPr>
        <w:t>www.asianews.it</w:t>
      </w:r>
      <w:r w:rsidRPr="00DB16C1">
        <w:fldChar w:fldCharType="end"/>
      </w:r>
    </w:p>
    <w:p w:rsidR="00DB16C1" w:rsidRPr="00DB16C1" w:rsidRDefault="00DB16C1" w:rsidP="00DB16C1">
      <w:pPr>
        <w:rPr>
          <w:u w:val="thick"/>
          <w:lang w:val="en-GB"/>
        </w:rPr>
      </w:pPr>
      <w:r w:rsidRPr="00DB16C1">
        <w:t></w:t>
      </w:r>
      <w:hyperlink r:id="rId5" w:history="1">
        <w:r w:rsidRPr="00DB16C1">
          <w:rPr>
            <w:rStyle w:val="Collegamentoipertestuale"/>
            <w:lang w:val="en-GB"/>
          </w:rPr>
          <w:t>www.secondoprotocollo.org</w:t>
        </w:r>
      </w:hyperlink>
    </w:p>
    <w:p w:rsidR="00DB16C1" w:rsidRPr="00DB16C1" w:rsidRDefault="00DB16C1" w:rsidP="00DB16C1">
      <w:hyperlink r:id="rId6" w:history="1">
        <w:r w:rsidRPr="00DB16C1">
          <w:rPr>
            <w:rStyle w:val="Collegamentoipertestuale"/>
            <w:lang w:val="en-GB"/>
          </w:rPr>
          <w:t>www.lettera43.it</w:t>
        </w:r>
      </w:hyperlink>
    </w:p>
    <w:sectPr w:rsidR="00DB16C1" w:rsidRPr="00DB16C1" w:rsidSect="00BF58D0">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Neue-Condensed">
    <w:altName w:val="Cambria"/>
    <w:panose1 w:val="00000000000000000000"/>
    <w:charset w:val="4D"/>
    <w:family w:val="auto"/>
    <w:notTrueType/>
    <w:pitch w:val="default"/>
    <w:sig w:usb0="00000003" w:usb1="00000000" w:usb2="00000000" w:usb3="00000000" w:csb0="00000001" w:csb1="00000000"/>
  </w:font>
  <w:font w:name="HelveticaNeue-HeavyCond">
    <w:altName w:val="Cambria"/>
    <w:panose1 w:val="00000000000000000000"/>
    <w:charset w:val="4D"/>
    <w:family w:val="auto"/>
    <w:notTrueType/>
    <w:pitch w:val="default"/>
    <w:sig w:usb0="00000003" w:usb1="00000000" w:usb2="00000000" w:usb3="00000000" w:csb0="00000001"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HelveticaNeue-CondensedObl">
    <w:altName w:val="Cambria"/>
    <w:panose1 w:val="00000000000000000000"/>
    <w:charset w:val="4D"/>
    <w:family w:val="auto"/>
    <w:notTrueType/>
    <w:pitch w:val="default"/>
    <w:sig w:usb0="00000003" w:usb1="00000000" w:usb2="00000000" w:usb3="00000000" w:csb0="00000001" w:csb1="00000000"/>
  </w:font>
  <w:font w:name="HelveticaNeue-BoldCon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6C1"/>
    <w:rsid w:val="00A67858"/>
    <w:rsid w:val="00DB16C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6boxesercizi">
    <w:name w:val="06 box esercizi"/>
    <w:basedOn w:val="Normale"/>
    <w:uiPriority w:val="99"/>
    <w:rsid w:val="00DB16C1"/>
    <w:pPr>
      <w:widowControl w:val="0"/>
      <w:suppressAutoHyphens/>
      <w:autoSpaceDE w:val="0"/>
      <w:autoSpaceDN w:val="0"/>
      <w:adjustRightInd w:val="0"/>
      <w:spacing w:line="240" w:lineRule="atLeast"/>
      <w:textAlignment w:val="center"/>
    </w:pPr>
    <w:rPr>
      <w:rFonts w:ascii="HelveticaNeue-Condensed" w:hAnsi="HelveticaNeue-Condensed" w:cs="HelveticaNeue-Condensed"/>
      <w:color w:val="000000"/>
      <w:sz w:val="18"/>
      <w:szCs w:val="18"/>
    </w:rPr>
  </w:style>
  <w:style w:type="paragraph" w:customStyle="1" w:styleId="NoParagraphStyle">
    <w:name w:val="[No Paragraph Style]"/>
    <w:rsid w:val="00DB16C1"/>
    <w:pPr>
      <w:widowControl w:val="0"/>
      <w:autoSpaceDE w:val="0"/>
      <w:autoSpaceDN w:val="0"/>
      <w:adjustRightInd w:val="0"/>
      <w:spacing w:line="288" w:lineRule="auto"/>
      <w:textAlignment w:val="center"/>
    </w:pPr>
    <w:rPr>
      <w:rFonts w:ascii="HelveticaNeue-HeavyCond" w:hAnsi="HelveticaNeue-HeavyCond" w:cs="Times New Roman"/>
      <w:color w:val="000000"/>
    </w:rPr>
  </w:style>
  <w:style w:type="character" w:styleId="Collegamentoipertestuale">
    <w:name w:val="Hyperlink"/>
    <w:basedOn w:val="Caratterepredefinitoparagrafo"/>
    <w:uiPriority w:val="99"/>
    <w:unhideWhenUsed/>
    <w:rsid w:val="00DB16C1"/>
    <w:rPr>
      <w:color w:val="0000FF" w:themeColor="hyperlink"/>
      <w:u w:val="single"/>
    </w:rPr>
  </w:style>
  <w:style w:type="character" w:styleId="Collegamentovisitato">
    <w:name w:val="FollowedHyperlink"/>
    <w:basedOn w:val="Caratterepredefinitoparagrafo"/>
    <w:uiPriority w:val="99"/>
    <w:semiHidden/>
    <w:unhideWhenUsed/>
    <w:rsid w:val="00DB16C1"/>
    <w:rPr>
      <w:color w:val="800080" w:themeColor="followedHyperlink"/>
      <w:u w:val="single"/>
    </w:rPr>
  </w:style>
  <w:style w:type="paragraph" w:customStyle="1" w:styleId="03boxarticolo">
    <w:name w:val="03 box articolo"/>
    <w:basedOn w:val="NoParagraphStyle"/>
    <w:uiPriority w:val="99"/>
    <w:rsid w:val="00DB16C1"/>
    <w:pPr>
      <w:tabs>
        <w:tab w:val="left" w:pos="227"/>
        <w:tab w:val="left" w:pos="3020"/>
      </w:tabs>
      <w:spacing w:line="200" w:lineRule="atLeast"/>
    </w:pPr>
    <w:rPr>
      <w:rFonts w:ascii="HelveticaNeue-LightCond" w:hAnsi="HelveticaNeue-LightCond" w:cs="HelveticaNeue-LightCond"/>
      <w:spacing w:val="2"/>
      <w:w w:val="90"/>
      <w:sz w:val="19"/>
      <w:szCs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6boxesercizi">
    <w:name w:val="06 box esercizi"/>
    <w:basedOn w:val="Normale"/>
    <w:uiPriority w:val="99"/>
    <w:rsid w:val="00DB16C1"/>
    <w:pPr>
      <w:widowControl w:val="0"/>
      <w:suppressAutoHyphens/>
      <w:autoSpaceDE w:val="0"/>
      <w:autoSpaceDN w:val="0"/>
      <w:adjustRightInd w:val="0"/>
      <w:spacing w:line="240" w:lineRule="atLeast"/>
      <w:textAlignment w:val="center"/>
    </w:pPr>
    <w:rPr>
      <w:rFonts w:ascii="HelveticaNeue-Condensed" w:hAnsi="HelveticaNeue-Condensed" w:cs="HelveticaNeue-Condensed"/>
      <w:color w:val="000000"/>
      <w:sz w:val="18"/>
      <w:szCs w:val="18"/>
    </w:rPr>
  </w:style>
  <w:style w:type="paragraph" w:customStyle="1" w:styleId="NoParagraphStyle">
    <w:name w:val="[No Paragraph Style]"/>
    <w:rsid w:val="00DB16C1"/>
    <w:pPr>
      <w:widowControl w:val="0"/>
      <w:autoSpaceDE w:val="0"/>
      <w:autoSpaceDN w:val="0"/>
      <w:adjustRightInd w:val="0"/>
      <w:spacing w:line="288" w:lineRule="auto"/>
      <w:textAlignment w:val="center"/>
    </w:pPr>
    <w:rPr>
      <w:rFonts w:ascii="HelveticaNeue-HeavyCond" w:hAnsi="HelveticaNeue-HeavyCond" w:cs="Times New Roman"/>
      <w:color w:val="000000"/>
    </w:rPr>
  </w:style>
  <w:style w:type="character" w:styleId="Collegamentoipertestuale">
    <w:name w:val="Hyperlink"/>
    <w:basedOn w:val="Caratterepredefinitoparagrafo"/>
    <w:uiPriority w:val="99"/>
    <w:unhideWhenUsed/>
    <w:rsid w:val="00DB16C1"/>
    <w:rPr>
      <w:color w:val="0000FF" w:themeColor="hyperlink"/>
      <w:u w:val="single"/>
    </w:rPr>
  </w:style>
  <w:style w:type="character" w:styleId="Collegamentovisitato">
    <w:name w:val="FollowedHyperlink"/>
    <w:basedOn w:val="Caratterepredefinitoparagrafo"/>
    <w:uiPriority w:val="99"/>
    <w:semiHidden/>
    <w:unhideWhenUsed/>
    <w:rsid w:val="00DB16C1"/>
    <w:rPr>
      <w:color w:val="800080" w:themeColor="followedHyperlink"/>
      <w:u w:val="single"/>
    </w:rPr>
  </w:style>
  <w:style w:type="paragraph" w:customStyle="1" w:styleId="03boxarticolo">
    <w:name w:val="03 box articolo"/>
    <w:basedOn w:val="NoParagraphStyle"/>
    <w:uiPriority w:val="99"/>
    <w:rsid w:val="00DB16C1"/>
    <w:pPr>
      <w:tabs>
        <w:tab w:val="left" w:pos="227"/>
        <w:tab w:val="left" w:pos="3020"/>
      </w:tabs>
      <w:spacing w:line="200" w:lineRule="atLeast"/>
    </w:pPr>
    <w:rPr>
      <w:rFonts w:ascii="HelveticaNeue-LightCond" w:hAnsi="HelveticaNeue-LightCond" w:cs="HelveticaNeue-LightCond"/>
      <w:spacing w:val="2"/>
      <w:w w:val="9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econdoprotocollo.org/" TargetMode="External"/><Relationship Id="rId6" Type="http://schemas.openxmlformats.org/officeDocument/2006/relationships/hyperlink" Target="http://www.lettera43.it/"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2614</Words>
  <Characters>14903</Characters>
  <Application>Microsoft Macintosh Word</Application>
  <DocSecurity>0</DocSecurity>
  <Lines>124</Lines>
  <Paragraphs>34</Paragraphs>
  <ScaleCrop>false</ScaleCrop>
  <Company/>
  <LinksUpToDate>false</LinksUpToDate>
  <CharactersWithSpaces>17483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2012-05-25T07:50:00Z</dcterms:created>
  <dcterms:modified xsi:type="dcterms:W3CDTF">2012-05-25T07:57:00Z</dcterms:modified>
</cp:coreProperties>
</file>